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firstLine="602" w:firstLineChars="200"/>
        <w:jc w:val="cente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t>武汉长华长源汽车零部件有限公司</w:t>
      </w:r>
    </w:p>
    <w:p>
      <w:pPr>
        <w:spacing w:line="420" w:lineRule="exact"/>
        <w:ind w:firstLine="602" w:firstLineChars="200"/>
        <w:jc w:val="cente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t>汽车冲焊件（武汉）生产基地建设项目</w:t>
      </w:r>
    </w:p>
    <w:p>
      <w:pPr>
        <w:spacing w:line="420" w:lineRule="exact"/>
        <w:ind w:firstLine="602" w:firstLineChars="200"/>
        <w:jc w:val="cente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t>（武汉长华长源二工厂电泳涂装线技术改造建设项目）</w:t>
      </w:r>
    </w:p>
    <w:p>
      <w:pPr>
        <w:spacing w:line="420" w:lineRule="exact"/>
        <w:ind w:firstLine="602" w:firstLineChars="20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竣工环保验收意见</w:t>
      </w:r>
    </w:p>
    <w:p>
      <w:pPr>
        <w:spacing w:line="420" w:lineRule="exact"/>
        <w:ind w:firstLine="482" w:firstLineChars="200"/>
        <w:jc w:val="left"/>
        <w:rPr>
          <w:rFonts w:hint="eastAsia" w:ascii="仿宋" w:hAnsi="仿宋" w:eastAsia="仿宋"/>
          <w:b/>
          <w:color w:val="auto"/>
          <w:sz w:val="24"/>
        </w:rPr>
      </w:pPr>
    </w:p>
    <w:p>
      <w:pPr>
        <w:spacing w:line="420" w:lineRule="exact"/>
        <w:ind w:firstLine="482" w:firstLineChars="200"/>
        <w:jc w:val="left"/>
        <w:rPr>
          <w:rFonts w:ascii="仿宋" w:hAnsi="仿宋" w:eastAsia="仿宋"/>
          <w:b/>
          <w:color w:val="auto"/>
          <w:sz w:val="24"/>
        </w:rPr>
      </w:pPr>
      <w:r>
        <w:rPr>
          <w:rFonts w:hint="eastAsia" w:ascii="仿宋" w:hAnsi="仿宋" w:eastAsia="仿宋"/>
          <w:b/>
          <w:color w:val="auto"/>
          <w:sz w:val="24"/>
        </w:rPr>
        <w:t>2</w:t>
      </w:r>
      <w:r>
        <w:rPr>
          <w:rFonts w:ascii="仿宋" w:hAnsi="仿宋" w:eastAsia="仿宋"/>
          <w:b/>
          <w:color w:val="auto"/>
          <w:sz w:val="24"/>
        </w:rPr>
        <w:t>02</w:t>
      </w:r>
      <w:r>
        <w:rPr>
          <w:rFonts w:hint="eastAsia" w:ascii="仿宋" w:hAnsi="仿宋" w:eastAsia="仿宋"/>
          <w:b/>
          <w:color w:val="auto"/>
          <w:sz w:val="24"/>
        </w:rPr>
        <w:t>1</w:t>
      </w:r>
      <w:r>
        <w:rPr>
          <w:rFonts w:ascii="仿宋" w:hAnsi="仿宋" w:eastAsia="仿宋"/>
          <w:b/>
          <w:color w:val="auto"/>
          <w:sz w:val="24"/>
        </w:rPr>
        <w:t>年</w:t>
      </w:r>
      <w:r>
        <w:rPr>
          <w:rFonts w:hint="eastAsia" w:ascii="仿宋" w:hAnsi="仿宋" w:eastAsia="仿宋"/>
          <w:b/>
          <w:color w:val="auto"/>
          <w:sz w:val="24"/>
        </w:rPr>
        <w:t>1</w:t>
      </w:r>
      <w:r>
        <w:rPr>
          <w:rFonts w:hint="eastAsia" w:ascii="仿宋" w:hAnsi="仿宋" w:eastAsia="仿宋"/>
          <w:b/>
          <w:color w:val="auto"/>
          <w:sz w:val="24"/>
          <w:lang w:val="en-US" w:eastAsia="zh-CN"/>
        </w:rPr>
        <w:t>2</w:t>
      </w:r>
      <w:r>
        <w:rPr>
          <w:rFonts w:ascii="仿宋" w:hAnsi="仿宋" w:eastAsia="仿宋"/>
          <w:b/>
          <w:color w:val="auto"/>
          <w:sz w:val="24"/>
        </w:rPr>
        <w:t>月</w:t>
      </w:r>
      <w:r>
        <w:rPr>
          <w:rFonts w:hint="eastAsia" w:ascii="仿宋" w:hAnsi="仿宋" w:eastAsia="仿宋"/>
          <w:b/>
          <w:color w:val="auto"/>
          <w:sz w:val="24"/>
          <w:lang w:val="en-US" w:eastAsia="zh-CN"/>
        </w:rPr>
        <w:t>27</w:t>
      </w:r>
      <w:r>
        <w:rPr>
          <w:rFonts w:ascii="仿宋" w:hAnsi="仿宋" w:eastAsia="仿宋"/>
          <w:b/>
          <w:color w:val="auto"/>
          <w:sz w:val="24"/>
        </w:rPr>
        <w:t>日，</w:t>
      </w:r>
      <w:r>
        <w:rPr>
          <w:rFonts w:hint="eastAsia" w:ascii="仿宋" w:hAnsi="仿宋" w:eastAsia="仿宋"/>
          <w:b/>
          <w:color w:val="auto"/>
          <w:sz w:val="24"/>
          <w:lang w:eastAsia="zh-CN"/>
        </w:rPr>
        <w:t>武汉长华长源汽车零部件有限公司</w:t>
      </w:r>
      <w:r>
        <w:rPr>
          <w:rFonts w:ascii="仿宋" w:hAnsi="仿宋" w:eastAsia="仿宋"/>
          <w:b/>
          <w:color w:val="auto"/>
          <w:sz w:val="24"/>
        </w:rPr>
        <w:t>根据</w:t>
      </w:r>
      <w:r>
        <w:rPr>
          <w:rFonts w:hint="eastAsia" w:ascii="仿宋" w:hAnsi="仿宋" w:eastAsia="仿宋"/>
          <w:b/>
          <w:color w:val="auto"/>
          <w:sz w:val="24"/>
        </w:rPr>
        <w:t>《</w:t>
      </w:r>
      <w:r>
        <w:rPr>
          <w:rFonts w:hint="eastAsia" w:ascii="仿宋" w:hAnsi="仿宋" w:eastAsia="仿宋"/>
          <w:b/>
          <w:color w:val="auto"/>
          <w:sz w:val="24"/>
          <w:lang w:eastAsia="zh-CN"/>
        </w:rPr>
        <w:t>武汉长华长源汽车零部件有限公司汽车冲焊件（武汉）生产基地建设项目（武汉长华长源二工厂电泳涂装线技术改造建设项目）</w:t>
      </w:r>
      <w:r>
        <w:rPr>
          <w:rFonts w:hint="eastAsia" w:ascii="仿宋" w:hAnsi="仿宋" w:eastAsia="仿宋"/>
          <w:b/>
          <w:color w:val="auto"/>
          <w:sz w:val="24"/>
        </w:rPr>
        <w:t>竣工环境保护验收监测报告表》</w:t>
      </w:r>
      <w:r>
        <w:rPr>
          <w:rFonts w:ascii="仿宋" w:hAnsi="仿宋" w:eastAsia="仿宋"/>
          <w:b/>
          <w:color w:val="auto"/>
          <w:sz w:val="24"/>
        </w:rPr>
        <w:t>，</w:t>
      </w:r>
      <w:r>
        <w:rPr>
          <w:rFonts w:hint="eastAsia" w:ascii="仿宋" w:hAnsi="仿宋" w:eastAsia="仿宋" w:cs="仿宋"/>
          <w:b/>
          <w:bCs/>
          <w:color w:val="auto"/>
          <w:sz w:val="24"/>
        </w:rPr>
        <w:t>对照</w:t>
      </w:r>
      <w:r>
        <w:rPr>
          <w:rFonts w:hint="eastAsia" w:ascii="仿宋" w:hAnsi="仿宋" w:eastAsia="仿宋" w:cs="仿宋"/>
          <w:b/>
          <w:bCs/>
          <w:color w:val="auto"/>
          <w:sz w:val="24"/>
          <w:lang w:val="zh-CN"/>
        </w:rPr>
        <w:t>《建设项目环境保护管理条例》、</w:t>
      </w:r>
      <w:r>
        <w:rPr>
          <w:rFonts w:hint="eastAsia" w:ascii="仿宋" w:hAnsi="仿宋" w:eastAsia="仿宋" w:cs="仿宋"/>
          <w:b/>
          <w:bCs/>
          <w:color w:val="auto"/>
          <w:sz w:val="24"/>
        </w:rPr>
        <w:t>《建设项目竣工环境保护验收暂行办法》，严格依照国家有关法律法规、建设项目竣工环境保护验收技术规范/指南、本项目环境影响报告表和审批部门审批决定等要求，组成验收组（验收组名单附后）对本项目进行自主验收</w:t>
      </w:r>
      <w:r>
        <w:rPr>
          <w:rFonts w:hint="eastAsia" w:ascii="仿宋" w:hAnsi="仿宋" w:eastAsia="仿宋" w:cs="仿宋"/>
          <w:b/>
          <w:bCs/>
          <w:color w:val="auto"/>
          <w:kern w:val="0"/>
          <w:sz w:val="24"/>
        </w:rPr>
        <w:t>。</w:t>
      </w:r>
    </w:p>
    <w:p>
      <w:pPr>
        <w:spacing w:line="312" w:lineRule="auto"/>
        <w:ind w:firstLine="482" w:firstLineChars="200"/>
        <w:rPr>
          <w:rFonts w:hint="eastAsia" w:ascii="仿宋" w:hAnsi="仿宋" w:eastAsia="仿宋" w:cs="仿宋"/>
          <w:color w:val="auto"/>
          <w:sz w:val="24"/>
          <w:lang w:eastAsia="zh-CN"/>
        </w:rPr>
      </w:pPr>
      <w:r>
        <w:rPr>
          <w:rFonts w:hint="eastAsia" w:ascii="仿宋" w:hAnsi="仿宋" w:eastAsia="仿宋" w:cs="仿宋"/>
          <w:b/>
          <w:bCs/>
          <w:color w:val="auto"/>
          <w:sz w:val="24"/>
        </w:rPr>
        <w:t>验收组成员现场实地检查了项目实施情况和环保设施的建设、运行情况，听取了建设单位关于该项目环保执行情况的介绍、验收监测报告编制单位关于该项目竣工环境保护验收监测报告的汇报，审阅并核实了有关资料，经质询与讨论，形成验收意见如下</w:t>
      </w:r>
      <w:r>
        <w:rPr>
          <w:rFonts w:hint="eastAsia" w:ascii="仿宋" w:hAnsi="仿宋" w:eastAsia="仿宋" w:cs="仿宋"/>
          <w:b/>
          <w:bCs/>
          <w:color w:val="auto"/>
          <w:sz w:val="24"/>
          <w:lang w:eastAsia="zh-CN"/>
        </w:rPr>
        <w:t>。</w:t>
      </w:r>
    </w:p>
    <w:p>
      <w:pPr>
        <w:spacing w:line="440" w:lineRule="exact"/>
        <w:ind w:firstLine="482" w:firstLineChars="200"/>
        <w:jc w:val="left"/>
        <w:rPr>
          <w:rFonts w:ascii="仿宋" w:hAnsi="仿宋" w:eastAsia="仿宋"/>
          <w:b/>
          <w:color w:val="auto"/>
          <w:sz w:val="24"/>
        </w:rPr>
      </w:pPr>
      <w:r>
        <w:rPr>
          <w:rFonts w:ascii="仿宋" w:hAnsi="仿宋" w:eastAsia="仿宋"/>
          <w:b/>
          <w:color w:val="auto"/>
          <w:sz w:val="24"/>
        </w:rPr>
        <w:t>一、工程建设基本情况</w:t>
      </w:r>
    </w:p>
    <w:p>
      <w:pPr>
        <w:spacing w:line="420" w:lineRule="exact"/>
        <w:ind w:firstLine="482" w:firstLineChars="200"/>
        <w:jc w:val="left"/>
        <w:rPr>
          <w:rFonts w:hint="eastAsia" w:ascii="仿宋" w:hAnsi="仿宋" w:eastAsia="仿宋" w:cs="仿宋"/>
          <w:b/>
          <w:bCs/>
          <w:color w:val="auto"/>
          <w:sz w:val="24"/>
        </w:rPr>
      </w:pPr>
      <w:r>
        <w:rPr>
          <w:rFonts w:hint="eastAsia" w:ascii="仿宋" w:hAnsi="仿宋" w:eastAsia="仿宋" w:cs="仿宋"/>
          <w:b/>
          <w:bCs/>
          <w:color w:val="auto"/>
          <w:sz w:val="24"/>
        </w:rPr>
        <w:t>1、建设地点、规模、主要建设内容</w:t>
      </w:r>
    </w:p>
    <w:p>
      <w:pPr>
        <w:spacing w:line="420" w:lineRule="exact"/>
        <w:ind w:firstLine="482" w:firstLineChars="200"/>
        <w:jc w:val="left"/>
        <w:rPr>
          <w:rFonts w:hint="default" w:ascii="仿宋" w:hAnsi="仿宋" w:eastAsia="仿宋" w:cs="仿宋"/>
          <w:b/>
          <w:bCs/>
          <w:color w:val="auto"/>
          <w:sz w:val="24"/>
        </w:rPr>
      </w:pPr>
      <w:r>
        <w:rPr>
          <w:rFonts w:hint="eastAsia" w:ascii="仿宋" w:hAnsi="仿宋" w:eastAsia="仿宋" w:cs="仿宋"/>
          <w:b/>
          <w:bCs/>
          <w:color w:val="auto"/>
          <w:sz w:val="24"/>
          <w:lang w:eastAsia="zh-CN"/>
        </w:rPr>
        <w:t>建设地点：</w:t>
      </w:r>
      <w:r>
        <w:rPr>
          <w:rFonts w:hint="default" w:ascii="仿宋" w:hAnsi="仿宋" w:eastAsia="仿宋" w:cs="仿宋"/>
          <w:b/>
          <w:bCs/>
          <w:color w:val="auto"/>
          <w:sz w:val="24"/>
        </w:rPr>
        <w:t>项目位于湖北省武汉市蔡甸经济开发区西牛三街与玛瑙一街交汇处以东，项目中心地理坐标为：东经114°03′6.08″，北纬</w:t>
      </w:r>
      <w:r>
        <w:rPr>
          <w:rFonts w:hint="eastAsia" w:ascii="仿宋" w:hAnsi="仿宋" w:eastAsia="仿宋" w:cs="仿宋"/>
          <w:b/>
          <w:bCs/>
          <w:color w:val="auto"/>
          <w:sz w:val="24"/>
          <w:lang w:val="en-US" w:eastAsia="zh-CN"/>
        </w:rPr>
        <w:t xml:space="preserve"> </w:t>
      </w:r>
      <w:r>
        <w:rPr>
          <w:rFonts w:hint="default" w:ascii="仿宋" w:hAnsi="仿宋" w:eastAsia="仿宋" w:cs="仿宋"/>
          <w:b/>
          <w:bCs/>
          <w:color w:val="auto"/>
          <w:sz w:val="24"/>
        </w:rPr>
        <w:t>30°25′18.79″。</w:t>
      </w:r>
    </w:p>
    <w:p>
      <w:pPr>
        <w:spacing w:line="420" w:lineRule="exact"/>
        <w:ind w:firstLine="482" w:firstLineChars="200"/>
        <w:jc w:val="left"/>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生产规模：汽车车身及底盘的金属冲焊件9431万件/年、电泳涂装件80万套（件）/年。</w:t>
      </w:r>
    </w:p>
    <w:p>
      <w:pPr>
        <w:spacing w:line="420" w:lineRule="exact"/>
        <w:ind w:firstLine="482" w:firstLineChars="200"/>
        <w:jc w:val="left"/>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主要建设内容见表1-1。</w:t>
      </w:r>
    </w:p>
    <w:p>
      <w:pPr>
        <w:pStyle w:val="16"/>
        <w:numPr>
          <w:ilvl w:val="0"/>
          <w:numId w:val="0"/>
        </w:numPr>
        <w:ind w:firstLine="481"/>
        <w:jc w:val="center"/>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表1-1项目主要建设情况一览表</w:t>
      </w:r>
    </w:p>
    <w:tbl>
      <w:tblPr>
        <w:tblStyle w:val="2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067"/>
        <w:gridCol w:w="1201"/>
        <w:gridCol w:w="2988"/>
        <w:gridCol w:w="2651"/>
        <w:gridCol w:w="133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10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120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建设内容</w:t>
            </w:r>
          </w:p>
        </w:tc>
        <w:tc>
          <w:tcPr>
            <w:tcW w:w="298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环评主要建设内容</w:t>
            </w:r>
          </w:p>
        </w:tc>
        <w:tc>
          <w:tcPr>
            <w:tcW w:w="265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实际建设内容</w:t>
            </w:r>
          </w:p>
        </w:tc>
        <w:tc>
          <w:tcPr>
            <w:tcW w:w="13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变更情况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67"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主体工程</w:t>
            </w:r>
          </w:p>
        </w:tc>
        <w:tc>
          <w:tcPr>
            <w:tcW w:w="120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生产车间、食堂及倒班楼</w:t>
            </w:r>
          </w:p>
        </w:tc>
        <w:tc>
          <w:tcPr>
            <w:tcW w:w="298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建设</w:t>
            </w:r>
            <w:r>
              <w:rPr>
                <w:rFonts w:hint="eastAsia" w:ascii="Times New Roman" w:hAnsi="Times New Roman" w:eastAsia="宋体" w:cs="Times New Roman"/>
                <w:color w:val="auto"/>
                <w:sz w:val="21"/>
                <w:szCs w:val="21"/>
                <w:lang w:val="en-US" w:eastAsia="zh-CN"/>
              </w:rPr>
              <w:t>1#厂房、2#厂房（远期规划）、食堂及倒班楼</w:t>
            </w:r>
          </w:p>
        </w:tc>
        <w:tc>
          <w:tcPr>
            <w:tcW w:w="265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建成</w:t>
            </w:r>
            <w:r>
              <w:rPr>
                <w:rFonts w:hint="eastAsia" w:ascii="Times New Roman" w:hAnsi="Times New Roman" w:eastAsia="宋体" w:cs="Times New Roman"/>
                <w:color w:val="auto"/>
                <w:sz w:val="21"/>
                <w:szCs w:val="21"/>
                <w:lang w:val="en-US" w:eastAsia="zh-CN"/>
              </w:rPr>
              <w:t>1#厂房，食堂及倒班楼（正在建设中）</w:t>
            </w:r>
          </w:p>
        </w:tc>
        <w:tc>
          <w:tcPr>
            <w:tcW w:w="13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食堂及倒班楼正在建设中，不在本次验收范围内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67"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公用工程</w:t>
            </w:r>
          </w:p>
        </w:tc>
        <w:tc>
          <w:tcPr>
            <w:tcW w:w="120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给排水</w:t>
            </w:r>
          </w:p>
        </w:tc>
        <w:tc>
          <w:tcPr>
            <w:tcW w:w="298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水源为</w:t>
            </w:r>
            <w:r>
              <w:rPr>
                <w:rFonts w:hint="default" w:ascii="Times New Roman" w:hAnsi="Times New Roman" w:eastAsia="宋体" w:cs="Times New Roman"/>
                <w:color w:val="auto"/>
                <w:sz w:val="21"/>
                <w:szCs w:val="21"/>
                <w:lang w:val="en-US" w:eastAsia="zh-CN"/>
              </w:rPr>
              <w:t>武汉市蔡甸区自来水厂</w:t>
            </w:r>
            <w:r>
              <w:rPr>
                <w:rFonts w:hint="eastAsia" w:ascii="Times New Roman" w:hAnsi="Times New Roman" w:eastAsia="宋体" w:cs="Times New Roman"/>
                <w:color w:val="auto"/>
                <w:sz w:val="21"/>
                <w:szCs w:val="21"/>
                <w:lang w:val="en-US" w:eastAsia="zh-CN"/>
              </w:rPr>
              <w:t>，厂区排水采用雨污分流制。雨水经厂区内雨水口收集后排至市政雨水管道，废水经污水管网收集处理后经 1 个规范化排污口排入市政污水管网，进入黄陵污水处理厂处理，尾水排入通顺河，最终排入长江（武汉段）。</w:t>
            </w:r>
          </w:p>
        </w:tc>
        <w:tc>
          <w:tcPr>
            <w:tcW w:w="265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水源为</w:t>
            </w:r>
            <w:r>
              <w:rPr>
                <w:rFonts w:hint="default" w:ascii="Times New Roman" w:hAnsi="Times New Roman" w:eastAsia="宋体" w:cs="Times New Roman"/>
                <w:color w:val="auto"/>
                <w:sz w:val="21"/>
                <w:szCs w:val="21"/>
                <w:lang w:val="en-US" w:eastAsia="zh-CN"/>
              </w:rPr>
              <w:t>武汉市蔡甸区自来水厂</w:t>
            </w:r>
            <w:r>
              <w:rPr>
                <w:rFonts w:hint="eastAsia" w:ascii="Times New Roman" w:hAnsi="Times New Roman" w:eastAsia="宋体" w:cs="Times New Roman"/>
                <w:color w:val="auto"/>
                <w:sz w:val="21"/>
                <w:szCs w:val="21"/>
                <w:lang w:val="en-US" w:eastAsia="zh-CN"/>
              </w:rPr>
              <w:t>，厂区排水采用雨污分流制。雨水经厂区内雨水口收集后排至市政雨水管道，废水经污水管网收集处理后经 1 个规范化排污口排入市政污水管网，进入黄陵污水处理厂处理，尾水排入通顺河，最终排入长江（武汉段）。</w:t>
            </w:r>
          </w:p>
        </w:tc>
        <w:tc>
          <w:tcPr>
            <w:tcW w:w="13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与环评一致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p>
        </w:tc>
        <w:tc>
          <w:tcPr>
            <w:tcW w:w="120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供电</w:t>
            </w:r>
          </w:p>
        </w:tc>
        <w:tc>
          <w:tcPr>
            <w:tcW w:w="298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用电由武汉市蔡甸区供电公司提供，配电房内设置 3 台 2000kVA 变压器台向厂区供</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电，另预留一台柴油发电机的安装位置。</w:t>
            </w:r>
          </w:p>
        </w:tc>
        <w:tc>
          <w:tcPr>
            <w:tcW w:w="265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用电由武汉市蔡甸区供电公司提供，配电房内设置 3 台 2000kVA 变压器台向厂区供</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电</w:t>
            </w:r>
            <w:r>
              <w:rPr>
                <w:rFonts w:hint="eastAsia" w:ascii="Times New Roman" w:hAnsi="Times New Roman" w:eastAsia="宋体" w:cs="Times New Roman"/>
                <w:color w:val="auto"/>
                <w:sz w:val="21"/>
                <w:szCs w:val="21"/>
                <w:lang w:eastAsia="zh-CN"/>
              </w:rPr>
              <w:t>。</w:t>
            </w:r>
          </w:p>
        </w:tc>
        <w:tc>
          <w:tcPr>
            <w:tcW w:w="13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与环评一致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p>
        </w:tc>
        <w:tc>
          <w:tcPr>
            <w:tcW w:w="120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供</w:t>
            </w:r>
            <w:r>
              <w:rPr>
                <w:rFonts w:hint="eastAsia" w:ascii="Times New Roman" w:hAnsi="Times New Roman" w:eastAsia="宋体" w:cs="Times New Roman"/>
                <w:color w:val="auto"/>
                <w:sz w:val="21"/>
                <w:szCs w:val="21"/>
                <w:lang w:eastAsia="zh-CN"/>
              </w:rPr>
              <w:t>暖通风</w:t>
            </w:r>
          </w:p>
        </w:tc>
        <w:tc>
          <w:tcPr>
            <w:tcW w:w="298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办公及倒班楼使用分体式空调。生产车间在厂房屋顶安装顶风机进行全室通风</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1#厂房南侧设 1 台闭式循环冷却塔为焊机提供冷却水，循环水量为 110m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/h；电泳线配</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冷冻机组一个以及 5m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 冷却塔一个。</w:t>
            </w:r>
          </w:p>
        </w:tc>
        <w:tc>
          <w:tcPr>
            <w:tcW w:w="265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厂区办公使用分体式空调，</w:t>
            </w:r>
            <w:r>
              <w:rPr>
                <w:rFonts w:hint="default" w:ascii="Times New Roman" w:hAnsi="Times New Roman" w:eastAsia="宋体" w:cs="Times New Roman"/>
                <w:color w:val="auto"/>
                <w:sz w:val="21"/>
                <w:szCs w:val="21"/>
              </w:rPr>
              <w:t>生产车间在厂房屋顶安装顶风机进行全室通风</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1#厂房南侧设 1 台闭式循环冷却塔为焊机提供冷却水，循环水量为 110m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/h；电泳线配</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有冷冻机组一个以及 5m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 冷却塔一个。</w:t>
            </w:r>
          </w:p>
        </w:tc>
        <w:tc>
          <w:tcPr>
            <w:tcW w:w="13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与环评一致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p>
        </w:tc>
        <w:tc>
          <w:tcPr>
            <w:tcW w:w="120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供气</w:t>
            </w:r>
          </w:p>
        </w:tc>
        <w:tc>
          <w:tcPr>
            <w:tcW w:w="298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空压机房内设 2 台风冷螺杆空压机，单台供气能</w:t>
            </w:r>
            <w:r>
              <w:rPr>
                <w:rFonts w:hint="eastAsia" w:ascii="Times New Roman" w:hAnsi="Times New Roman" w:eastAsia="宋体" w:cs="Times New Roman"/>
                <w:color w:val="auto"/>
                <w:sz w:val="21"/>
                <w:szCs w:val="21"/>
                <w:lang w:eastAsia="zh-CN"/>
              </w:rPr>
              <w:t>力</w:t>
            </w:r>
            <w:r>
              <w:rPr>
                <w:rFonts w:hint="default" w:ascii="Times New Roman" w:hAnsi="Times New Roman" w:eastAsia="宋体" w:cs="Times New Roman"/>
                <w:color w:val="auto"/>
                <w:sz w:val="21"/>
                <w:szCs w:val="21"/>
              </w:rPr>
              <w:t>20m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/min，总供气能</w:t>
            </w:r>
            <w:r>
              <w:rPr>
                <w:rFonts w:hint="eastAsia" w:ascii="Times New Roman" w:hAnsi="Times New Roman" w:eastAsia="宋体" w:cs="Times New Roman"/>
                <w:color w:val="auto"/>
                <w:sz w:val="21"/>
                <w:szCs w:val="21"/>
                <w:lang w:eastAsia="zh-CN"/>
              </w:rPr>
              <w:t>力</w:t>
            </w:r>
            <w:r>
              <w:rPr>
                <w:rFonts w:hint="default" w:ascii="Times New Roman" w:hAnsi="Times New Roman" w:eastAsia="宋体" w:cs="Times New Roman"/>
                <w:color w:val="auto"/>
                <w:sz w:val="21"/>
                <w:szCs w:val="21"/>
              </w:rPr>
              <w:t>40m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/min，供气压力 0.8MPa。</w:t>
            </w:r>
          </w:p>
        </w:tc>
        <w:tc>
          <w:tcPr>
            <w:tcW w:w="265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空压机房内设 2 台风冷螺杆空压机，单台供气能</w:t>
            </w:r>
            <w:r>
              <w:rPr>
                <w:rFonts w:hint="eastAsia" w:ascii="Times New Roman" w:hAnsi="Times New Roman" w:eastAsia="宋体" w:cs="Times New Roman"/>
                <w:color w:val="auto"/>
                <w:sz w:val="21"/>
                <w:szCs w:val="21"/>
                <w:lang w:eastAsia="zh-CN"/>
              </w:rPr>
              <w:t>力</w:t>
            </w:r>
            <w:r>
              <w:rPr>
                <w:rFonts w:hint="default" w:ascii="Times New Roman" w:hAnsi="Times New Roman" w:eastAsia="宋体" w:cs="Times New Roman"/>
                <w:color w:val="auto"/>
                <w:sz w:val="21"/>
                <w:szCs w:val="21"/>
              </w:rPr>
              <w:t>20m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/min，总供气能</w:t>
            </w:r>
            <w:r>
              <w:rPr>
                <w:rFonts w:hint="eastAsia" w:ascii="Times New Roman" w:hAnsi="Times New Roman" w:eastAsia="宋体" w:cs="Times New Roman"/>
                <w:color w:val="auto"/>
                <w:sz w:val="21"/>
                <w:szCs w:val="21"/>
                <w:lang w:eastAsia="zh-CN"/>
              </w:rPr>
              <w:t>力</w:t>
            </w:r>
            <w:r>
              <w:rPr>
                <w:rFonts w:hint="default" w:ascii="Times New Roman" w:hAnsi="Times New Roman" w:eastAsia="宋体" w:cs="Times New Roman"/>
                <w:color w:val="auto"/>
                <w:sz w:val="21"/>
                <w:szCs w:val="21"/>
              </w:rPr>
              <w:t>40m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/min，供气压力 0.8MPa。</w:t>
            </w:r>
          </w:p>
        </w:tc>
        <w:tc>
          <w:tcPr>
            <w:tcW w:w="13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与环评一致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p>
        </w:tc>
        <w:tc>
          <w:tcPr>
            <w:tcW w:w="120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纯水制备系统</w:t>
            </w:r>
          </w:p>
        </w:tc>
        <w:tc>
          <w:tcPr>
            <w:tcW w:w="298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设置一台纯水机组（15</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/h），为生产工段提供纯水用于工件清洗，该纯水机组</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rPr>
              <w:t>纯水制备效率为 50%，年制纯水 12480</w:t>
            </w:r>
            <w:r>
              <w:rPr>
                <w:rFonts w:hint="eastAsia"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eastAsia" w:ascii="Times New Roman" w:hAnsi="Times New Roman" w:eastAsia="宋体" w:cs="Times New Roman"/>
                <w:color w:val="auto"/>
                <w:sz w:val="21"/>
                <w:szCs w:val="21"/>
                <w:vertAlign w:val="baseline"/>
                <w:lang w:eastAsia="zh-CN"/>
              </w:rPr>
              <w:t>。</w:t>
            </w:r>
          </w:p>
        </w:tc>
        <w:tc>
          <w:tcPr>
            <w:tcW w:w="265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lang w:val="en-US" w:eastAsia="zh-CN"/>
              </w:rPr>
              <w:t>技改后，磷化废水处理系统产生纯水回用，纯水机组的制水能力由（15m</w:t>
            </w:r>
            <w:r>
              <w:rPr>
                <w:rFonts w:hint="eastAsia"/>
                <w:color w:val="auto"/>
                <w:vertAlign w:val="superscript"/>
                <w:lang w:val="en-US" w:eastAsia="zh-CN"/>
              </w:rPr>
              <w:t>3</w:t>
            </w:r>
            <w:r>
              <w:rPr>
                <w:rFonts w:hint="eastAsia"/>
                <w:color w:val="auto"/>
                <w:lang w:val="en-US" w:eastAsia="zh-CN"/>
              </w:rPr>
              <w:t>/h）调整为（5m</w:t>
            </w:r>
            <w:r>
              <w:rPr>
                <w:rFonts w:hint="eastAsia"/>
                <w:color w:val="auto"/>
                <w:vertAlign w:val="superscript"/>
                <w:lang w:val="en-US" w:eastAsia="zh-CN"/>
              </w:rPr>
              <w:t>3</w:t>
            </w:r>
            <w:r>
              <w:rPr>
                <w:rFonts w:hint="eastAsia"/>
                <w:color w:val="auto"/>
                <w:lang w:val="en-US" w:eastAsia="zh-CN"/>
              </w:rPr>
              <w:t>/h），纯水制备效率为60%</w:t>
            </w:r>
          </w:p>
        </w:tc>
        <w:tc>
          <w:tcPr>
            <w:tcW w:w="13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与环评一致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p>
        </w:tc>
        <w:tc>
          <w:tcPr>
            <w:tcW w:w="120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天然气</w:t>
            </w:r>
          </w:p>
        </w:tc>
        <w:tc>
          <w:tcPr>
            <w:tcW w:w="298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 2 台 2t/h 的蒸汽锅炉（一用一备）为电泳涂装线热水洗、脱脂等工序供热，</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锅炉放置在锅炉房内，以天然气为能源</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电泳线固化炉采用天然气直接加热</w:t>
            </w:r>
            <w:r>
              <w:rPr>
                <w:rFonts w:hint="eastAsia" w:ascii="Times New Roman" w:hAnsi="Times New Roman" w:eastAsia="宋体" w:cs="Times New Roman"/>
                <w:color w:val="auto"/>
                <w:sz w:val="21"/>
                <w:szCs w:val="21"/>
                <w:lang w:eastAsia="zh-CN"/>
              </w:rPr>
              <w:t>。</w:t>
            </w:r>
          </w:p>
        </w:tc>
        <w:tc>
          <w:tcPr>
            <w:tcW w:w="265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 2 台 2t/h 的蒸汽锅炉（一用一备）为电泳涂装线热水洗、脱脂等工序供热，</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kern w:val="2"/>
                <w:sz w:val="21"/>
                <w:lang w:val="en-US" w:eastAsia="zh-CN" w:bidi="ar-SA"/>
              </w:rPr>
            </w:pPr>
            <w:r>
              <w:rPr>
                <w:rFonts w:hint="default" w:ascii="Times New Roman" w:hAnsi="Times New Roman" w:eastAsia="宋体" w:cs="Times New Roman"/>
                <w:color w:val="auto"/>
                <w:sz w:val="21"/>
                <w:szCs w:val="21"/>
              </w:rPr>
              <w:t>锅炉放置在锅炉房内，以天然气为能源</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电泳线固化炉采用天然气直接加热</w:t>
            </w:r>
            <w:r>
              <w:rPr>
                <w:rFonts w:hint="eastAsia" w:ascii="Times New Roman" w:hAnsi="Times New Roman" w:eastAsia="宋体" w:cs="Times New Roman"/>
                <w:color w:val="auto"/>
                <w:sz w:val="21"/>
                <w:szCs w:val="21"/>
                <w:lang w:eastAsia="zh-CN"/>
              </w:rPr>
              <w:t>。</w:t>
            </w:r>
          </w:p>
        </w:tc>
        <w:tc>
          <w:tcPr>
            <w:tcW w:w="13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eastAsia="zh-CN"/>
              </w:rPr>
              <w:t>与环评一致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67"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环保工程</w:t>
            </w:r>
          </w:p>
        </w:tc>
        <w:tc>
          <w:tcPr>
            <w:tcW w:w="120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废水处理</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系统</w:t>
            </w:r>
          </w:p>
        </w:tc>
        <w:tc>
          <w:tcPr>
            <w:tcW w:w="298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lang w:val="en-US" w:eastAsia="zh-CN"/>
              </w:rPr>
            </w:pPr>
            <w:r>
              <w:rPr>
                <w:rFonts w:hint="eastAsia"/>
                <w:color w:val="auto"/>
                <w:lang w:eastAsia="zh-CN"/>
              </w:rPr>
              <w:t>①一般生活污水经化粪池处理；食堂废水经隔油池预处理；经处理后的两类废水混流，经</w:t>
            </w:r>
            <w:r>
              <w:rPr>
                <w:rFonts w:hint="eastAsia"/>
                <w:color w:val="auto"/>
                <w:lang w:val="en-US" w:eastAsia="zh-CN"/>
              </w:rPr>
              <w:t>1个规范化排污口排入市政污水管网；</w:t>
            </w:r>
          </w:p>
          <w:p>
            <w:pPr>
              <w:pStyle w:val="15"/>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②磷化废水经一套处理能力为25m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vertAlign w:val="baseline"/>
                <w:lang w:val="en-US" w:eastAsia="zh-CN"/>
              </w:rPr>
              <w:t>/d的</w:t>
            </w:r>
            <w:r>
              <w:rPr>
                <w:rFonts w:hint="eastAsia" w:ascii="Times New Roman" w:hAnsi="Times New Roman" w:eastAsia="宋体" w:cs="Times New Roman"/>
                <w:color w:val="auto"/>
                <w:sz w:val="21"/>
                <w:szCs w:val="21"/>
                <w:lang w:val="en-US" w:eastAsia="zh-CN"/>
              </w:rPr>
              <w:t>磷化废水处理系统处理后回用，零排放；</w:t>
            </w:r>
          </w:p>
          <w:p>
            <w:pPr>
              <w:pStyle w:val="15"/>
              <w:keepNext w:val="0"/>
              <w:keepLines w:val="0"/>
              <w:pageBreakBefore w:val="0"/>
              <w:kinsoku/>
              <w:wordWrap/>
              <w:overflowPunct/>
              <w:topLinePunct w:val="0"/>
              <w:autoSpaceDE/>
              <w:autoSpaceDN/>
              <w:bidi w:val="0"/>
              <w:adjustRightInd/>
              <w:snapToGrid/>
              <w:spacing w:line="300" w:lineRule="exact"/>
              <w:textAlignment w:val="auto"/>
              <w:rPr>
                <w:rFonts w:hint="default"/>
                <w:color w:val="auto"/>
                <w:lang w:val="en-US" w:eastAsia="zh-CN"/>
              </w:rPr>
            </w:pPr>
            <w:r>
              <w:rPr>
                <w:rFonts w:hint="eastAsia" w:ascii="Times New Roman" w:hAnsi="Times New Roman" w:eastAsia="宋体" w:cs="Times New Roman"/>
                <w:color w:val="auto"/>
                <w:sz w:val="21"/>
                <w:szCs w:val="21"/>
                <w:lang w:val="en-US" w:eastAsia="zh-CN"/>
              </w:rPr>
              <w:t>③涂装线其他生产废水经1套处理能力为45m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vertAlign w:val="baseline"/>
                <w:lang w:val="en-US" w:eastAsia="zh-CN"/>
              </w:rPr>
              <w:t>/d的综合废水处理装置处理后与生活污水在总排口混排。</w:t>
            </w:r>
          </w:p>
        </w:tc>
        <w:tc>
          <w:tcPr>
            <w:tcW w:w="265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lang w:val="en-US" w:eastAsia="zh-CN"/>
              </w:rPr>
            </w:pPr>
            <w:r>
              <w:rPr>
                <w:rFonts w:hint="eastAsia"/>
                <w:color w:val="auto"/>
                <w:lang w:eastAsia="zh-CN"/>
              </w:rPr>
              <w:t>①一般生活污水经化粪池处理后由</w:t>
            </w:r>
            <w:r>
              <w:rPr>
                <w:rFonts w:hint="eastAsia"/>
                <w:color w:val="auto"/>
                <w:lang w:val="en-US" w:eastAsia="zh-CN"/>
              </w:rPr>
              <w:t>总排口排入市政污水管网；</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②磷化废水经一套处理能力为25m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vertAlign w:val="baseline"/>
                <w:lang w:val="en-US" w:eastAsia="zh-CN"/>
              </w:rPr>
              <w:t>/d的</w:t>
            </w:r>
            <w:r>
              <w:rPr>
                <w:rFonts w:hint="eastAsia" w:ascii="Times New Roman" w:hAnsi="Times New Roman" w:eastAsia="宋体" w:cs="Times New Roman"/>
                <w:color w:val="auto"/>
                <w:sz w:val="21"/>
                <w:szCs w:val="21"/>
                <w:lang w:val="en-US" w:eastAsia="zh-CN"/>
              </w:rPr>
              <w:t>磷化废水处理系统处理后回用，零排放；</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③涂装线其他生产废水经1套处理能力为45m</w:t>
            </w:r>
            <w:r>
              <w:rPr>
                <w:rFonts w:hint="eastAsia" w:ascii="Times New Roman" w:hAnsi="Times New Roman" w:eastAsia="宋体" w:cs="Times New Roman"/>
                <w:color w:val="auto"/>
                <w:sz w:val="21"/>
                <w:szCs w:val="21"/>
                <w:vertAlign w:val="superscript"/>
                <w:lang w:val="en-US" w:eastAsia="zh-CN"/>
              </w:rPr>
              <w:t>3</w:t>
            </w:r>
            <w:r>
              <w:rPr>
                <w:rFonts w:hint="eastAsia" w:ascii="Times New Roman" w:hAnsi="Times New Roman" w:eastAsia="宋体" w:cs="Times New Roman"/>
                <w:color w:val="auto"/>
                <w:sz w:val="21"/>
                <w:szCs w:val="21"/>
                <w:vertAlign w:val="baseline"/>
                <w:lang w:val="en-US" w:eastAsia="zh-CN"/>
              </w:rPr>
              <w:t>/d的综合废水处理装置处理后与生活污水在总排口混排后进入黄陵污水处理厂处理。</w:t>
            </w:r>
          </w:p>
        </w:tc>
        <w:tc>
          <w:tcPr>
            <w:tcW w:w="13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食堂正在建设中。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p>
        </w:tc>
        <w:tc>
          <w:tcPr>
            <w:tcW w:w="120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废气处理</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系统</w:t>
            </w:r>
          </w:p>
        </w:tc>
        <w:tc>
          <w:tcPr>
            <w:tcW w:w="298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color w:val="auto"/>
                <w:lang w:val="en-US" w:eastAsia="zh-CN"/>
              </w:rPr>
            </w:pPr>
            <w:r>
              <w:rPr>
                <w:rFonts w:hint="eastAsia"/>
                <w:color w:val="auto"/>
                <w:lang w:eastAsia="zh-CN"/>
              </w:rPr>
              <w:t>①焊接烟尘经滤筒式除尘器处理后通过</w:t>
            </w:r>
            <w:r>
              <w:rPr>
                <w:rFonts w:hint="eastAsia"/>
                <w:color w:val="auto"/>
                <w:lang w:val="en-US" w:eastAsia="zh-CN"/>
              </w:rPr>
              <w:t>1根20m高排气筒排放；</w:t>
            </w:r>
          </w:p>
          <w:p>
            <w:pPr>
              <w:pStyle w:val="15"/>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sz w:val="21"/>
                <w:szCs w:val="21"/>
                <w:lang w:val="en-US" w:eastAsia="zh-CN"/>
              </w:rPr>
              <w:t>②</w:t>
            </w:r>
            <w:r>
              <w:rPr>
                <w:rFonts w:hint="eastAsia" w:ascii="Times New Roman" w:hAnsi="Times New Roman" w:eastAsia="宋体" w:cs="Times New Roman"/>
                <w:color w:val="auto"/>
                <w:kern w:val="2"/>
                <w:sz w:val="21"/>
                <w:lang w:val="en-US" w:eastAsia="zh-CN" w:bidi="ar-SA"/>
              </w:rPr>
              <w:t>电泳废气采用活性炭吸附装置处理，通过1根20m高排气筒排放；</w:t>
            </w:r>
          </w:p>
          <w:p>
            <w:pPr>
              <w:pStyle w:val="15"/>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sz w:val="21"/>
                <w:szCs w:val="21"/>
                <w:lang w:val="en-US" w:eastAsia="zh-CN"/>
              </w:rPr>
              <w:t>③</w:t>
            </w:r>
            <w:r>
              <w:rPr>
                <w:rFonts w:hint="eastAsia" w:ascii="Times New Roman" w:hAnsi="Times New Roman" w:eastAsia="宋体" w:cs="Times New Roman"/>
                <w:color w:val="auto"/>
                <w:kern w:val="2"/>
                <w:sz w:val="21"/>
                <w:lang w:val="en-US" w:eastAsia="zh-CN" w:bidi="ar-SA"/>
              </w:rPr>
              <w:t>固化炉废气采用电加热催化燃烧处理装置处理，通过1根20m高排气筒排放；</w:t>
            </w:r>
          </w:p>
          <w:p>
            <w:pPr>
              <w:pStyle w:val="15"/>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④锅炉燃气废气经2根15m高烟囱引至锅炉房楼顶排放；</w:t>
            </w:r>
          </w:p>
          <w:p>
            <w:pPr>
              <w:pStyle w:val="15"/>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auto"/>
                <w:kern w:val="2"/>
                <w:sz w:val="21"/>
                <w:lang w:val="en-US" w:eastAsia="zh-CN" w:bidi="ar-SA"/>
              </w:rPr>
            </w:pPr>
            <w:r>
              <w:rPr>
                <w:rFonts w:hint="eastAsia" w:ascii="宋体" w:hAnsi="宋体" w:eastAsia="宋体" w:cs="宋体"/>
                <w:color w:val="auto"/>
                <w:kern w:val="2"/>
                <w:sz w:val="16"/>
                <w:szCs w:val="16"/>
                <w:shd w:val="clear" w:color="auto" w:fill="auto"/>
                <w:lang w:val="en-US" w:eastAsia="zh-CN" w:bidi="ar-SA"/>
              </w:rPr>
              <w:fldChar w:fldCharType="begin"/>
            </w:r>
            <w:r>
              <w:rPr>
                <w:rFonts w:hint="eastAsia" w:ascii="宋体" w:hAnsi="宋体" w:eastAsia="宋体" w:cs="宋体"/>
                <w:color w:val="auto"/>
                <w:kern w:val="2"/>
                <w:sz w:val="16"/>
                <w:szCs w:val="16"/>
                <w:shd w:val="clear" w:color="auto" w:fill="auto"/>
                <w:lang w:val="en-US" w:eastAsia="zh-CN" w:bidi="ar-SA"/>
              </w:rPr>
              <w:instrText xml:space="preserve"> EQ \o\ac(</w:instrText>
            </w:r>
            <w:r>
              <w:rPr>
                <w:rFonts w:hint="eastAsia" w:ascii="宋体" w:hAnsi="宋体" w:eastAsia="宋体" w:cs="宋体"/>
                <w:color w:val="auto"/>
                <w:kern w:val="2"/>
                <w:position w:val="-3"/>
                <w:sz w:val="24"/>
                <w:szCs w:val="16"/>
                <w:shd w:val="clear" w:color="auto" w:fill="auto"/>
                <w:lang w:val="en-US" w:eastAsia="zh-CN" w:bidi="ar-SA"/>
              </w:rPr>
              <w:instrText xml:space="preserve">○</w:instrText>
            </w:r>
            <w:r>
              <w:rPr>
                <w:rFonts w:hint="eastAsia" w:ascii="宋体" w:hAnsi="宋体" w:eastAsia="宋体" w:cs="宋体"/>
                <w:color w:val="auto"/>
                <w:kern w:val="2"/>
                <w:position w:val="0"/>
                <w:sz w:val="16"/>
                <w:szCs w:val="16"/>
                <w:shd w:val="clear" w:color="auto" w:fill="auto"/>
                <w:lang w:val="en-US" w:eastAsia="zh-CN" w:bidi="ar-SA"/>
              </w:rPr>
              <w:instrText xml:space="preserve">,5)</w:instrText>
            </w:r>
            <w:r>
              <w:rPr>
                <w:rFonts w:hint="eastAsia" w:ascii="宋体" w:hAnsi="宋体" w:eastAsia="宋体" w:cs="宋体"/>
                <w:color w:val="auto"/>
                <w:kern w:val="2"/>
                <w:sz w:val="16"/>
                <w:szCs w:val="16"/>
                <w:shd w:val="clear" w:color="auto" w:fill="auto"/>
                <w:lang w:val="en-US" w:eastAsia="zh-CN" w:bidi="ar-SA"/>
              </w:rPr>
              <w:fldChar w:fldCharType="end"/>
            </w:r>
            <w:r>
              <w:rPr>
                <w:rFonts w:hint="eastAsia" w:ascii="Times New Roman" w:hAnsi="Times New Roman" w:eastAsia="宋体" w:cs="Times New Roman"/>
                <w:color w:val="auto"/>
                <w:kern w:val="2"/>
                <w:sz w:val="21"/>
                <w:lang w:val="en-US" w:eastAsia="zh-CN" w:bidi="ar-SA"/>
              </w:rPr>
              <w:t>食堂油烟废气经处理效率＞80%的油烟净化装置处理后由专用排气筒引至楼顶排放。</w:t>
            </w:r>
          </w:p>
        </w:tc>
        <w:tc>
          <w:tcPr>
            <w:tcW w:w="265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①焊接烟尘经滤筒式除尘器处理后通过1根</w:t>
            </w:r>
            <w:r>
              <w:rPr>
                <w:rFonts w:hint="eastAsia" w:ascii="Times New Roman" w:hAnsi="Times New Roman" w:cs="Times New Roman"/>
                <w:color w:val="auto"/>
                <w:kern w:val="2"/>
                <w:sz w:val="21"/>
                <w:lang w:val="en-US" w:eastAsia="zh-CN" w:bidi="ar-SA"/>
              </w:rPr>
              <w:t>20</w:t>
            </w:r>
            <w:r>
              <w:rPr>
                <w:rFonts w:hint="eastAsia" w:ascii="Times New Roman" w:hAnsi="Times New Roman" w:eastAsia="宋体" w:cs="Times New Roman"/>
                <w:color w:val="auto"/>
                <w:kern w:val="2"/>
                <w:sz w:val="21"/>
                <w:lang w:val="en-US" w:eastAsia="zh-CN" w:bidi="ar-SA"/>
              </w:rPr>
              <w:t>m高排气筒排放；</w:t>
            </w:r>
          </w:p>
          <w:p>
            <w:pPr>
              <w:pStyle w:val="15"/>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②电泳废气经活性炭吸附装置处理后通过1根</w:t>
            </w:r>
            <w:r>
              <w:rPr>
                <w:rFonts w:hint="eastAsia" w:ascii="Times New Roman" w:hAnsi="Times New Roman" w:cs="Times New Roman"/>
                <w:color w:val="auto"/>
                <w:kern w:val="2"/>
                <w:sz w:val="21"/>
                <w:lang w:val="en-US" w:eastAsia="zh-CN" w:bidi="ar-SA"/>
              </w:rPr>
              <w:t>20</w:t>
            </w:r>
            <w:r>
              <w:rPr>
                <w:rFonts w:hint="eastAsia" w:ascii="Times New Roman" w:hAnsi="Times New Roman" w:eastAsia="宋体" w:cs="Times New Roman"/>
                <w:color w:val="auto"/>
                <w:kern w:val="2"/>
                <w:sz w:val="21"/>
                <w:lang w:val="en-US" w:eastAsia="zh-CN" w:bidi="ar-SA"/>
              </w:rPr>
              <w:t>m高排气筒排放；</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③固化炉废气经电加热催化燃烧处理装置处理后通过1根</w:t>
            </w:r>
            <w:r>
              <w:rPr>
                <w:rFonts w:hint="eastAsia" w:ascii="Times New Roman" w:hAnsi="Times New Roman" w:cs="Times New Roman"/>
                <w:color w:val="auto"/>
                <w:kern w:val="2"/>
                <w:sz w:val="21"/>
                <w:lang w:val="en-US" w:eastAsia="zh-CN" w:bidi="ar-SA"/>
              </w:rPr>
              <w:t>20</w:t>
            </w:r>
            <w:r>
              <w:rPr>
                <w:rFonts w:hint="eastAsia" w:ascii="Times New Roman" w:hAnsi="Times New Roman" w:eastAsia="宋体" w:cs="Times New Roman"/>
                <w:color w:val="auto"/>
                <w:kern w:val="2"/>
                <w:sz w:val="21"/>
                <w:lang w:val="en-US" w:eastAsia="zh-CN" w:bidi="ar-SA"/>
              </w:rPr>
              <w:t>m高排气筒排放。</w:t>
            </w:r>
          </w:p>
          <w:p>
            <w:pPr>
              <w:pStyle w:val="15"/>
              <w:keepNext w:val="0"/>
              <w:keepLines w:val="0"/>
              <w:pageBreakBefore w:val="0"/>
              <w:kinsoku/>
              <w:wordWrap/>
              <w:overflowPunct/>
              <w:topLinePunct w:val="0"/>
              <w:autoSpaceDE/>
              <w:autoSpaceDN/>
              <w:bidi w:val="0"/>
              <w:adjustRightInd/>
              <w:snapToGrid/>
              <w:spacing w:line="300" w:lineRule="exact"/>
              <w:textAlignment w:val="auto"/>
              <w:rPr>
                <w:rFonts w:hint="eastAsia" w:ascii="Times New Roman" w:hAnsi="Times New Roman" w:eastAsia="宋体" w:cs="Times New Roman"/>
                <w:color w:val="auto"/>
                <w:kern w:val="2"/>
                <w:sz w:val="21"/>
                <w:lang w:val="en-US" w:eastAsia="zh-CN" w:bidi="ar-SA"/>
              </w:rPr>
            </w:pPr>
            <w:r>
              <w:rPr>
                <w:rFonts w:hint="eastAsia" w:ascii="Times New Roman" w:hAnsi="Times New Roman" w:eastAsia="宋体" w:cs="Times New Roman"/>
                <w:color w:val="auto"/>
                <w:kern w:val="2"/>
                <w:sz w:val="21"/>
                <w:lang w:val="en-US" w:eastAsia="zh-CN" w:bidi="ar-SA"/>
              </w:rPr>
              <w:t>④锅炉燃气废气经2根</w:t>
            </w:r>
            <w:r>
              <w:rPr>
                <w:rFonts w:hint="eastAsia" w:ascii="Times New Roman" w:hAnsi="Times New Roman" w:cs="Times New Roman"/>
                <w:color w:val="auto"/>
                <w:kern w:val="2"/>
                <w:sz w:val="21"/>
                <w:lang w:val="en-US" w:eastAsia="zh-CN" w:bidi="ar-SA"/>
              </w:rPr>
              <w:t>20</w:t>
            </w:r>
            <w:r>
              <w:rPr>
                <w:rFonts w:hint="eastAsia" w:ascii="Times New Roman" w:hAnsi="Times New Roman" w:eastAsia="宋体" w:cs="Times New Roman"/>
                <w:color w:val="auto"/>
                <w:kern w:val="2"/>
                <w:sz w:val="21"/>
                <w:lang w:val="en-US" w:eastAsia="zh-CN" w:bidi="ar-SA"/>
              </w:rPr>
              <w:t>m高烟囱引至锅炉房楼顶排放（一用一备）；</w:t>
            </w:r>
          </w:p>
          <w:p>
            <w:pPr>
              <w:pStyle w:val="15"/>
              <w:keepNext w:val="0"/>
              <w:keepLines w:val="0"/>
              <w:pageBreakBefore w:val="0"/>
              <w:kinsoku/>
              <w:wordWrap/>
              <w:overflowPunct/>
              <w:topLinePunct w:val="0"/>
              <w:autoSpaceDE/>
              <w:autoSpaceDN/>
              <w:bidi w:val="0"/>
              <w:adjustRightInd/>
              <w:snapToGrid/>
              <w:spacing w:line="300" w:lineRule="exact"/>
              <w:textAlignment w:val="auto"/>
              <w:rPr>
                <w:rFonts w:hint="default"/>
                <w:color w:val="auto"/>
              </w:rPr>
            </w:pPr>
            <w:r>
              <w:rPr>
                <w:rFonts w:hint="eastAsia" w:ascii="宋体" w:hAnsi="宋体" w:eastAsia="宋体" w:cs="宋体"/>
                <w:color w:val="auto"/>
                <w:kern w:val="2"/>
                <w:sz w:val="16"/>
                <w:szCs w:val="16"/>
                <w:shd w:val="clear" w:color="auto" w:fill="auto"/>
                <w:lang w:val="en-US" w:eastAsia="zh-CN" w:bidi="ar-SA"/>
              </w:rPr>
              <w:fldChar w:fldCharType="begin"/>
            </w:r>
            <w:r>
              <w:rPr>
                <w:rFonts w:hint="eastAsia" w:ascii="宋体" w:hAnsi="宋体" w:eastAsia="宋体" w:cs="宋体"/>
                <w:color w:val="auto"/>
                <w:kern w:val="2"/>
                <w:sz w:val="16"/>
                <w:szCs w:val="16"/>
                <w:shd w:val="clear" w:color="auto" w:fill="auto"/>
                <w:lang w:val="en-US" w:eastAsia="zh-CN" w:bidi="ar-SA"/>
              </w:rPr>
              <w:instrText xml:space="preserve"> EQ \o\ac(</w:instrText>
            </w:r>
            <w:r>
              <w:rPr>
                <w:rFonts w:hint="eastAsia" w:ascii="宋体" w:hAnsi="宋体" w:eastAsia="宋体" w:cs="宋体"/>
                <w:color w:val="auto"/>
                <w:kern w:val="2"/>
                <w:position w:val="-3"/>
                <w:sz w:val="24"/>
                <w:szCs w:val="16"/>
                <w:shd w:val="clear" w:color="auto" w:fill="auto"/>
                <w:lang w:val="en-US" w:eastAsia="zh-CN" w:bidi="ar-SA"/>
              </w:rPr>
              <w:instrText xml:space="preserve">○</w:instrText>
            </w:r>
            <w:r>
              <w:rPr>
                <w:rFonts w:hint="eastAsia" w:ascii="宋体" w:hAnsi="宋体" w:eastAsia="宋体" w:cs="宋体"/>
                <w:color w:val="auto"/>
                <w:kern w:val="2"/>
                <w:position w:val="0"/>
                <w:sz w:val="16"/>
                <w:szCs w:val="16"/>
                <w:shd w:val="clear" w:color="auto" w:fill="auto"/>
                <w:lang w:val="en-US" w:eastAsia="zh-CN" w:bidi="ar-SA"/>
              </w:rPr>
              <w:instrText xml:space="preserve">,5)</w:instrText>
            </w:r>
            <w:r>
              <w:rPr>
                <w:rFonts w:hint="eastAsia" w:ascii="宋体" w:hAnsi="宋体" w:eastAsia="宋体" w:cs="宋体"/>
                <w:color w:val="auto"/>
                <w:kern w:val="2"/>
                <w:sz w:val="16"/>
                <w:szCs w:val="16"/>
                <w:shd w:val="clear" w:color="auto" w:fill="auto"/>
                <w:lang w:val="en-US" w:eastAsia="zh-CN" w:bidi="ar-SA"/>
              </w:rPr>
              <w:fldChar w:fldCharType="end"/>
            </w:r>
            <w:r>
              <w:rPr>
                <w:rFonts w:hint="eastAsia" w:ascii="Times New Roman" w:hAnsi="Times New Roman" w:eastAsia="宋体" w:cs="Times New Roman"/>
                <w:color w:val="auto"/>
                <w:kern w:val="2"/>
                <w:sz w:val="21"/>
                <w:lang w:val="en-US" w:eastAsia="zh-CN" w:bidi="ar-SA"/>
              </w:rPr>
              <w:t>食堂正在建设中，还未投入使用，拟安装武汉俞正环保科技有限公司静电光解复合式饮食业油烟净化设备（设备环保产品检测结果见附件9）</w:t>
            </w:r>
          </w:p>
        </w:tc>
        <w:tc>
          <w:tcPr>
            <w:tcW w:w="13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食堂正在建设中。</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p>
        </w:tc>
        <w:tc>
          <w:tcPr>
            <w:tcW w:w="120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噪声治理系统</w:t>
            </w:r>
          </w:p>
        </w:tc>
        <w:tc>
          <w:tcPr>
            <w:tcW w:w="298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基础减振、建筑物隔音、厂房合理布局</w:t>
            </w:r>
          </w:p>
        </w:tc>
        <w:tc>
          <w:tcPr>
            <w:tcW w:w="265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选用低噪声设备、基础减振、建筑物隔音、厂房合理布局、距离衰减</w:t>
            </w:r>
          </w:p>
        </w:tc>
        <w:tc>
          <w:tcPr>
            <w:tcW w:w="13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与环评一致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6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p>
        </w:tc>
        <w:tc>
          <w:tcPr>
            <w:tcW w:w="120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固</w:t>
            </w:r>
            <w:r>
              <w:rPr>
                <w:rFonts w:hint="eastAsia" w:ascii="Times New Roman" w:hAnsi="Times New Roman" w:eastAsia="宋体" w:cs="Times New Roman"/>
                <w:color w:val="auto"/>
                <w:sz w:val="21"/>
                <w:szCs w:val="21"/>
                <w:lang w:eastAsia="zh-CN"/>
              </w:rPr>
              <w:t>体废物收集系统</w:t>
            </w:r>
          </w:p>
        </w:tc>
        <w:tc>
          <w:tcPr>
            <w:tcW w:w="298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lang w:eastAsia="zh-CN"/>
              </w:rPr>
              <w:t>一般工业固体废物物资回收部门回收利用；危险废物建设一座</w:t>
            </w:r>
            <w:r>
              <w:rPr>
                <w:rFonts w:hint="eastAsia" w:ascii="Times New Roman" w:hAnsi="Times New Roman" w:eastAsia="宋体" w:cs="Times New Roman"/>
                <w:color w:val="auto"/>
                <w:sz w:val="21"/>
                <w:szCs w:val="21"/>
                <w:lang w:val="en-US" w:eastAsia="zh-CN"/>
              </w:rPr>
              <w:t>50m</w:t>
            </w:r>
            <w:r>
              <w:rPr>
                <w:rFonts w:hint="eastAsia" w:ascii="Times New Roman" w:hAnsi="Times New Roman" w:eastAsia="宋体" w:cs="Times New Roman"/>
                <w:color w:val="auto"/>
                <w:sz w:val="21"/>
                <w:szCs w:val="21"/>
                <w:vertAlign w:val="superscript"/>
                <w:lang w:val="en-US" w:eastAsia="zh-CN"/>
              </w:rPr>
              <w:t>2</w:t>
            </w:r>
            <w:r>
              <w:rPr>
                <w:rFonts w:hint="eastAsia" w:ascii="Times New Roman" w:hAnsi="Times New Roman" w:eastAsia="宋体" w:cs="Times New Roman"/>
                <w:color w:val="auto"/>
                <w:sz w:val="21"/>
                <w:szCs w:val="21"/>
                <w:vertAlign w:val="baseline"/>
                <w:lang w:val="en-US" w:eastAsia="zh-CN"/>
              </w:rPr>
              <w:t>危废暂存间，委托有资质单位处置。</w:t>
            </w:r>
          </w:p>
        </w:tc>
        <w:tc>
          <w:tcPr>
            <w:tcW w:w="265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一般工业固体交由武汉星宇晨保洁有限公司回收处置（见附件</w:t>
            </w:r>
            <w:r>
              <w:rPr>
                <w:rFonts w:hint="eastAsia" w:ascii="Times New Roman" w:hAnsi="Times New Roman" w:eastAsia="宋体" w:cs="Times New Roman"/>
                <w:color w:val="auto"/>
                <w:sz w:val="21"/>
                <w:szCs w:val="21"/>
                <w:lang w:val="en-US" w:eastAsia="zh-CN"/>
              </w:rPr>
              <w:t>8</w:t>
            </w:r>
            <w:r>
              <w:rPr>
                <w:rFonts w:hint="eastAsia" w:ascii="Times New Roman" w:hAnsi="Times New Roman" w:eastAsia="宋体" w:cs="Times New Roman"/>
                <w:color w:val="auto"/>
                <w:sz w:val="21"/>
                <w:szCs w:val="21"/>
                <w:lang w:eastAsia="zh-CN"/>
              </w:rPr>
              <w:t>）；危险废物置于危废暂存间定期交由潜江东园深蓝环保科技有限公司处置（见附件</w:t>
            </w:r>
            <w:r>
              <w:rPr>
                <w:rFonts w:hint="eastAsia" w:ascii="Times New Roman" w:hAnsi="Times New Roman" w:eastAsia="宋体" w:cs="Times New Roman"/>
                <w:color w:val="auto"/>
                <w:sz w:val="21"/>
                <w:szCs w:val="21"/>
                <w:lang w:val="en-US" w:eastAsia="zh-CN"/>
              </w:rPr>
              <w:t>7</w:t>
            </w:r>
            <w:r>
              <w:rPr>
                <w:rFonts w:hint="eastAsia" w:ascii="Times New Roman" w:hAnsi="Times New Roman" w:eastAsia="宋体" w:cs="Times New Roman"/>
                <w:color w:val="auto"/>
                <w:sz w:val="21"/>
                <w:szCs w:val="21"/>
                <w:lang w:eastAsia="zh-CN"/>
              </w:rPr>
              <w:t>）</w:t>
            </w:r>
          </w:p>
        </w:tc>
        <w:tc>
          <w:tcPr>
            <w:tcW w:w="13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与环评一致</w:t>
            </w:r>
          </w:p>
        </w:tc>
      </w:tr>
    </w:tbl>
    <w:p>
      <w:pPr>
        <w:widowControl/>
        <w:numPr>
          <w:ilvl w:val="0"/>
          <w:numId w:val="3"/>
        </w:numPr>
        <w:spacing w:line="440" w:lineRule="exact"/>
        <w:ind w:firstLine="482" w:firstLineChars="200"/>
        <w:jc w:val="left"/>
        <w:rPr>
          <w:rFonts w:hint="eastAsia" w:ascii="仿宋" w:hAnsi="仿宋" w:eastAsia="仿宋" w:cs="宋体"/>
          <w:b/>
          <w:color w:val="auto"/>
          <w:kern w:val="0"/>
          <w:sz w:val="24"/>
        </w:rPr>
      </w:pPr>
      <w:r>
        <w:rPr>
          <w:rFonts w:hint="eastAsia" w:ascii="仿宋" w:hAnsi="仿宋" w:eastAsia="仿宋" w:cs="宋体"/>
          <w:b/>
          <w:color w:val="auto"/>
          <w:kern w:val="0"/>
          <w:sz w:val="24"/>
        </w:rPr>
        <w:t>建设过程及环保审批情况</w:t>
      </w:r>
    </w:p>
    <w:p>
      <w:pPr>
        <w:spacing w:line="440" w:lineRule="exact"/>
        <w:ind w:firstLine="482" w:firstLineChars="200"/>
        <w:jc w:val="left"/>
        <w:outlineLvl w:val="0"/>
        <w:rPr>
          <w:rFonts w:hint="eastAsia" w:ascii="仿宋" w:hAnsi="仿宋" w:eastAsia="仿宋" w:cs="Times New Roman"/>
          <w:b/>
          <w:color w:val="auto"/>
          <w:sz w:val="24"/>
          <w:lang w:val="en-US" w:eastAsia="zh-CN"/>
        </w:rPr>
      </w:pPr>
      <w:r>
        <w:rPr>
          <w:rFonts w:hint="eastAsia" w:ascii="仿宋" w:hAnsi="仿宋" w:eastAsia="仿宋" w:cs="Times New Roman"/>
          <w:b/>
          <w:color w:val="auto"/>
          <w:sz w:val="24"/>
          <w:lang w:val="en-US" w:eastAsia="zh-CN"/>
        </w:rPr>
        <w:t xml:space="preserve"> 武汉长华长源公司于2018年10月委托湖北君邦环境技术有限责任公司编制完成了《武汉长华长源汽车零部件有限公司汽车冲焊件（武汉）生产基地建设项目</w:t>
      </w:r>
      <w:r>
        <w:rPr>
          <w:rFonts w:hint="default" w:ascii="仿宋" w:hAnsi="仿宋" w:eastAsia="仿宋" w:cs="Times New Roman"/>
          <w:b/>
          <w:color w:val="auto"/>
          <w:sz w:val="24"/>
          <w:lang w:val="en-US" w:eastAsia="zh-CN"/>
        </w:rPr>
        <w:t>环境影响报告表</w:t>
      </w:r>
      <w:r>
        <w:rPr>
          <w:rFonts w:hint="eastAsia" w:ascii="仿宋" w:hAnsi="仿宋" w:eastAsia="仿宋" w:cs="Times New Roman"/>
          <w:b/>
          <w:color w:val="auto"/>
          <w:sz w:val="24"/>
          <w:lang w:val="en-US" w:eastAsia="zh-CN"/>
        </w:rPr>
        <w:t>》。2018年11月23日武汉市蔡甸区行政审批局以蔡行审环批[2018]78号对该项目出具了审批意见。“汽车冲焊件（武汉）生产基地建设项目”建成后，更名为现在的武汉长华长源二工厂。</w:t>
      </w:r>
    </w:p>
    <w:p>
      <w:pPr>
        <w:spacing w:line="440" w:lineRule="exact"/>
        <w:ind w:firstLine="420" w:firstLineChars="200"/>
        <w:jc w:val="left"/>
        <w:outlineLvl w:val="0"/>
        <w:rPr>
          <w:rFonts w:hint="eastAsia" w:ascii="仿宋" w:hAnsi="仿宋" w:eastAsia="仿宋" w:cs="Times New Roman"/>
          <w:b/>
          <w:color w:val="auto"/>
          <w:sz w:val="24"/>
          <w:lang w:val="en-US" w:eastAsia="zh-CN"/>
        </w:rPr>
      </w:pPr>
      <w:r>
        <w:rPr>
          <w:rFonts w:hint="eastAsia"/>
          <w:color w:val="auto"/>
          <w:lang w:val="en-US" w:eastAsia="zh-CN"/>
        </w:rPr>
        <w:t xml:space="preserve">  </w:t>
      </w:r>
      <w:r>
        <w:rPr>
          <w:rFonts w:hint="eastAsia" w:ascii="仿宋" w:hAnsi="仿宋" w:eastAsia="仿宋" w:cs="Times New Roman"/>
          <w:b/>
          <w:color w:val="auto"/>
          <w:sz w:val="24"/>
          <w:lang w:val="en-US" w:eastAsia="zh-CN"/>
        </w:rPr>
        <w:t>2019年12月，受客户需求影响，武汉长华长源公司电泳涂装线原采用的“锆化工艺”需调整为“磷化工艺”来满足客户对长华长源汽车零部件产品的质量要求，因此，武汉长华长源公司于2019年12月在蔡甸区发展和改革委员会对“武汉长华长源二工厂电泳涂装线技术改造建设项目”进行了备案，投资1000万元对电泳涂装线进行技术改造，配套新增磷化废水零排放处理系统并优化调整相应的废气处理系统，项目实施后，全厂产能规模保持不变，仍为汽车车身及底盘的金属冲焊件9431万件/年，电泳涂装规模80万套（件）/年（涂装面积仍为321.4万m</w:t>
      </w:r>
      <w:r>
        <w:rPr>
          <w:rFonts w:hint="eastAsia" w:ascii="仿宋" w:hAnsi="仿宋" w:eastAsia="仿宋" w:cs="Times New Roman"/>
          <w:b/>
          <w:color w:val="auto"/>
          <w:sz w:val="24"/>
          <w:vertAlign w:val="superscript"/>
          <w:lang w:val="en-US" w:eastAsia="zh-CN"/>
        </w:rPr>
        <w:t>2</w:t>
      </w:r>
      <w:r>
        <w:rPr>
          <w:rFonts w:hint="eastAsia" w:ascii="仿宋" w:hAnsi="仿宋" w:eastAsia="仿宋" w:cs="Times New Roman"/>
          <w:b/>
          <w:color w:val="auto"/>
          <w:sz w:val="24"/>
          <w:lang w:val="en-US" w:eastAsia="zh-CN"/>
        </w:rPr>
        <w:t>/年）。</w:t>
      </w:r>
    </w:p>
    <w:p>
      <w:pPr>
        <w:spacing w:line="440" w:lineRule="exact"/>
        <w:ind w:firstLine="482" w:firstLineChars="200"/>
        <w:jc w:val="left"/>
        <w:outlineLvl w:val="0"/>
        <w:rPr>
          <w:rFonts w:hint="eastAsia" w:ascii="仿宋" w:hAnsi="仿宋" w:eastAsia="仿宋" w:cs="Times New Roman"/>
          <w:b/>
          <w:color w:val="auto"/>
          <w:sz w:val="24"/>
          <w:lang w:val="en-US" w:eastAsia="zh-CN"/>
        </w:rPr>
      </w:pPr>
      <w:r>
        <w:rPr>
          <w:rFonts w:hint="eastAsia" w:ascii="仿宋" w:hAnsi="仿宋" w:eastAsia="仿宋" w:cs="Times New Roman"/>
          <w:b/>
          <w:color w:val="auto"/>
          <w:sz w:val="24"/>
          <w:lang w:val="en-US" w:eastAsia="zh-CN"/>
        </w:rPr>
        <w:t>2020年5月14日武汉市蔡甸区行政审批局以蔡行审环批[2020]19号对武汉长华长源二工厂电泳涂装技术改造项目出具了审批意见。</w:t>
      </w:r>
    </w:p>
    <w:p>
      <w:pPr>
        <w:spacing w:line="440" w:lineRule="exact"/>
        <w:ind w:firstLine="482" w:firstLineChars="200"/>
        <w:jc w:val="left"/>
        <w:outlineLvl w:val="0"/>
        <w:rPr>
          <w:rFonts w:hint="eastAsia" w:ascii="仿宋" w:hAnsi="仿宋" w:eastAsia="仿宋" w:cs="Times New Roman"/>
          <w:b/>
          <w:color w:val="auto"/>
          <w:sz w:val="24"/>
          <w:lang w:val="en-US" w:eastAsia="zh-CN"/>
        </w:rPr>
      </w:pPr>
      <w:r>
        <w:rPr>
          <w:rFonts w:hint="eastAsia" w:ascii="仿宋" w:hAnsi="仿宋" w:eastAsia="仿宋" w:cs="Times New Roman"/>
          <w:b/>
          <w:color w:val="auto"/>
          <w:sz w:val="24"/>
          <w:lang w:val="en-US" w:eastAsia="zh-CN"/>
        </w:rPr>
        <w:t>电泳涂装技术改造建设项目于2020年6月开工建设，2021年3月进入调试阶段。</w:t>
      </w:r>
    </w:p>
    <w:p>
      <w:pPr>
        <w:spacing w:line="440" w:lineRule="exact"/>
        <w:ind w:firstLine="482" w:firstLineChars="200"/>
        <w:jc w:val="left"/>
        <w:outlineLvl w:val="0"/>
        <w:rPr>
          <w:rFonts w:ascii="仿宋" w:hAnsi="仿宋" w:eastAsia="仿宋"/>
          <w:b/>
          <w:color w:val="auto"/>
          <w:sz w:val="24"/>
        </w:rPr>
      </w:pPr>
      <w:r>
        <w:rPr>
          <w:rFonts w:hint="eastAsia" w:ascii="仿宋" w:hAnsi="仿宋" w:eastAsia="仿宋"/>
          <w:b/>
          <w:color w:val="auto"/>
          <w:sz w:val="24"/>
        </w:rPr>
        <w:t>3</w:t>
      </w:r>
      <w:r>
        <w:rPr>
          <w:rFonts w:ascii="仿宋" w:hAnsi="仿宋" w:eastAsia="仿宋"/>
          <w:b/>
          <w:color w:val="auto"/>
          <w:sz w:val="24"/>
        </w:rPr>
        <w:t>、</w:t>
      </w:r>
      <w:r>
        <w:rPr>
          <w:rFonts w:hint="eastAsia" w:ascii="仿宋" w:hAnsi="仿宋" w:eastAsia="仿宋"/>
          <w:b/>
          <w:color w:val="auto"/>
          <w:sz w:val="24"/>
        </w:rPr>
        <w:t>投资情况</w:t>
      </w:r>
    </w:p>
    <w:p>
      <w:pPr>
        <w:spacing w:line="440" w:lineRule="exact"/>
        <w:ind w:firstLine="482" w:firstLineChars="200"/>
        <w:jc w:val="left"/>
        <w:outlineLvl w:val="0"/>
        <w:rPr>
          <w:rFonts w:ascii="仿宋" w:hAnsi="仿宋" w:eastAsia="仿宋"/>
          <w:b/>
          <w:color w:val="auto"/>
          <w:sz w:val="24"/>
        </w:rPr>
      </w:pPr>
      <w:r>
        <w:rPr>
          <w:rFonts w:hint="eastAsia" w:ascii="仿宋" w:hAnsi="仿宋" w:eastAsia="仿宋"/>
          <w:b/>
          <w:color w:val="auto"/>
          <w:sz w:val="24"/>
        </w:rPr>
        <w:t>项目工程实际总投资</w:t>
      </w:r>
      <w:r>
        <w:rPr>
          <w:rFonts w:hint="eastAsia" w:ascii="仿宋" w:hAnsi="仿宋" w:eastAsia="仿宋"/>
          <w:b/>
          <w:color w:val="auto"/>
          <w:sz w:val="24"/>
          <w:lang w:val="en-US" w:eastAsia="zh-CN"/>
        </w:rPr>
        <w:t>39870万元</w:t>
      </w:r>
      <w:r>
        <w:rPr>
          <w:rFonts w:hint="eastAsia" w:ascii="仿宋" w:hAnsi="仿宋" w:eastAsia="仿宋"/>
          <w:b/>
          <w:color w:val="auto"/>
          <w:sz w:val="24"/>
        </w:rPr>
        <w:t>，其中环保投资</w:t>
      </w:r>
      <w:r>
        <w:rPr>
          <w:rFonts w:hint="eastAsia" w:ascii="仿宋" w:hAnsi="仿宋" w:eastAsia="仿宋"/>
          <w:b/>
          <w:color w:val="auto"/>
          <w:sz w:val="24"/>
          <w:lang w:val="en-US" w:eastAsia="zh-CN"/>
        </w:rPr>
        <w:t>345</w:t>
      </w:r>
      <w:r>
        <w:rPr>
          <w:rFonts w:hint="eastAsia" w:ascii="仿宋" w:hAnsi="仿宋" w:eastAsia="仿宋"/>
          <w:b/>
          <w:color w:val="auto"/>
          <w:sz w:val="24"/>
        </w:rPr>
        <w:t>万元，环保投资占总投资的比例为</w:t>
      </w:r>
      <w:r>
        <w:rPr>
          <w:rFonts w:hint="eastAsia" w:ascii="仿宋" w:hAnsi="仿宋" w:eastAsia="仿宋"/>
          <w:b/>
          <w:color w:val="auto"/>
          <w:sz w:val="24"/>
          <w:lang w:val="en-US" w:eastAsia="zh-CN"/>
        </w:rPr>
        <w:t>0.87</w:t>
      </w:r>
      <w:r>
        <w:rPr>
          <w:rFonts w:hint="eastAsia" w:ascii="仿宋" w:hAnsi="仿宋" w:eastAsia="仿宋"/>
          <w:b/>
          <w:color w:val="auto"/>
          <w:sz w:val="24"/>
        </w:rPr>
        <w:t>%。</w:t>
      </w:r>
    </w:p>
    <w:p>
      <w:pPr>
        <w:widowControl/>
        <w:spacing w:line="440" w:lineRule="exact"/>
        <w:ind w:firstLine="482" w:firstLineChars="200"/>
        <w:jc w:val="left"/>
        <w:rPr>
          <w:rFonts w:eastAsia="仿宋"/>
          <w:color w:val="auto"/>
        </w:rPr>
      </w:pPr>
      <w:r>
        <w:rPr>
          <w:rFonts w:hint="eastAsia" w:ascii="仿宋" w:hAnsi="仿宋" w:eastAsia="仿宋"/>
          <w:b/>
          <w:color w:val="auto"/>
          <w:sz w:val="24"/>
        </w:rPr>
        <w:t>4、验收范围</w:t>
      </w:r>
    </w:p>
    <w:p>
      <w:pPr>
        <w:spacing w:line="440" w:lineRule="exact"/>
        <w:ind w:firstLine="482" w:firstLineChars="200"/>
        <w:jc w:val="left"/>
        <w:outlineLvl w:val="0"/>
        <w:rPr>
          <w:rFonts w:hint="default" w:ascii="仿宋" w:hAnsi="仿宋" w:eastAsia="仿宋"/>
          <w:b/>
          <w:color w:val="auto"/>
          <w:sz w:val="24"/>
          <w:lang w:val="en-US" w:eastAsia="zh-CN"/>
        </w:rPr>
      </w:pPr>
      <w:r>
        <w:rPr>
          <w:rFonts w:hint="eastAsia" w:ascii="仿宋" w:hAnsi="仿宋" w:eastAsia="仿宋"/>
          <w:b/>
          <w:color w:val="auto"/>
          <w:sz w:val="24"/>
        </w:rPr>
        <w:t>本次验收范围</w:t>
      </w:r>
      <w:r>
        <w:rPr>
          <w:rFonts w:hint="eastAsia" w:ascii="仿宋" w:hAnsi="仿宋" w:eastAsia="仿宋"/>
          <w:b/>
          <w:color w:val="auto"/>
          <w:sz w:val="24"/>
          <w:lang w:eastAsia="zh-CN"/>
        </w:rPr>
        <w:t>为已经建成并稳定运行的</w:t>
      </w:r>
      <w:r>
        <w:rPr>
          <w:rFonts w:hint="eastAsia" w:ascii="仿宋" w:hAnsi="仿宋" w:eastAsia="仿宋"/>
          <w:b/>
          <w:color w:val="auto"/>
          <w:sz w:val="24"/>
          <w:lang w:val="en-US" w:eastAsia="zh-CN"/>
        </w:rPr>
        <w:t>1#厂房的汽车车身及底盘金属冲焊件生产车间、电泳涂装生产车间和其配套的环保设施及辅助生产用房，不包括正在建设中的食堂及倒班楼。</w:t>
      </w:r>
    </w:p>
    <w:p>
      <w:pPr>
        <w:spacing w:line="440" w:lineRule="exact"/>
        <w:ind w:left="479" w:leftChars="228"/>
        <w:jc w:val="left"/>
        <w:outlineLvl w:val="0"/>
        <w:rPr>
          <w:rFonts w:ascii="仿宋" w:hAnsi="仿宋" w:eastAsia="仿宋"/>
          <w:b/>
          <w:color w:val="auto"/>
          <w:sz w:val="24"/>
        </w:rPr>
      </w:pPr>
      <w:r>
        <w:rPr>
          <w:rFonts w:hint="eastAsia" w:ascii="仿宋" w:hAnsi="仿宋" w:eastAsia="仿宋"/>
          <w:b/>
          <w:color w:val="auto"/>
          <w:sz w:val="24"/>
        </w:rPr>
        <w:t>二、工程变动情况</w:t>
      </w:r>
    </w:p>
    <w:p>
      <w:pPr>
        <w:widowControl/>
        <w:spacing w:line="440" w:lineRule="exact"/>
        <w:ind w:firstLine="482" w:firstLineChars="200"/>
        <w:jc w:val="left"/>
        <w:rPr>
          <w:rFonts w:ascii="仿宋" w:hAnsi="仿宋" w:eastAsia="仿宋"/>
          <w:b/>
          <w:color w:val="auto"/>
          <w:sz w:val="24"/>
        </w:rPr>
      </w:pPr>
      <w:r>
        <w:rPr>
          <w:rFonts w:hint="eastAsia" w:ascii="仿宋" w:hAnsi="仿宋" w:eastAsia="仿宋"/>
          <w:b/>
          <w:color w:val="auto"/>
          <w:sz w:val="24"/>
        </w:rPr>
        <w:t>根据中华人民共和国生态环境部办公厅关于印发《污染影响类建设项目重大变动清单（试行）》的通知环办环评函【2020】688号可知，本次验收范围内的建设内容、建设地点、性质、规模、生产工艺及配套的环保设施均未涉及重大变更。</w:t>
      </w:r>
    </w:p>
    <w:p>
      <w:pPr>
        <w:spacing w:line="440" w:lineRule="exact"/>
        <w:ind w:left="479" w:leftChars="228"/>
        <w:jc w:val="left"/>
        <w:outlineLvl w:val="0"/>
        <w:rPr>
          <w:rFonts w:ascii="仿宋" w:hAnsi="仿宋" w:eastAsia="仿宋"/>
          <w:b/>
          <w:color w:val="auto"/>
          <w:sz w:val="24"/>
        </w:rPr>
      </w:pPr>
      <w:r>
        <w:rPr>
          <w:rFonts w:hint="eastAsia" w:ascii="仿宋" w:hAnsi="仿宋" w:eastAsia="仿宋"/>
          <w:b/>
          <w:color w:val="auto"/>
          <w:sz w:val="24"/>
        </w:rPr>
        <w:t>三</w:t>
      </w:r>
      <w:r>
        <w:rPr>
          <w:rFonts w:ascii="仿宋" w:hAnsi="仿宋" w:eastAsia="仿宋"/>
          <w:b/>
          <w:color w:val="auto"/>
          <w:sz w:val="24"/>
        </w:rPr>
        <w:t>、环境保护设施建设情况</w:t>
      </w:r>
    </w:p>
    <w:p>
      <w:pPr>
        <w:spacing w:line="440" w:lineRule="exact"/>
        <w:ind w:firstLine="482" w:firstLineChars="200"/>
        <w:rPr>
          <w:rFonts w:ascii="仿宋" w:hAnsi="仿宋" w:eastAsia="仿宋"/>
          <w:b/>
          <w:color w:val="auto"/>
          <w:sz w:val="24"/>
        </w:rPr>
      </w:pPr>
      <w:r>
        <w:rPr>
          <w:rFonts w:ascii="仿宋" w:hAnsi="仿宋" w:eastAsia="仿宋"/>
          <w:b/>
          <w:color w:val="auto"/>
          <w:sz w:val="24"/>
        </w:rPr>
        <w:t>1</w:t>
      </w:r>
      <w:r>
        <w:rPr>
          <w:rFonts w:hint="eastAsia" w:ascii="仿宋" w:hAnsi="仿宋" w:eastAsia="仿宋"/>
          <w:b/>
          <w:color w:val="auto"/>
          <w:sz w:val="24"/>
        </w:rPr>
        <w:t>、</w:t>
      </w:r>
      <w:r>
        <w:rPr>
          <w:rFonts w:ascii="仿宋" w:hAnsi="仿宋" w:eastAsia="仿宋"/>
          <w:b/>
          <w:color w:val="auto"/>
          <w:sz w:val="24"/>
        </w:rPr>
        <w:t>废水</w:t>
      </w:r>
    </w:p>
    <w:p>
      <w:pPr>
        <w:spacing w:line="440" w:lineRule="exact"/>
        <w:ind w:firstLine="482" w:firstLineChars="200"/>
        <w:rPr>
          <w:rFonts w:hint="eastAsia" w:ascii="仿宋" w:hAnsi="仿宋" w:eastAsia="仿宋" w:cs="宋体"/>
          <w:b/>
          <w:color w:val="auto"/>
          <w:kern w:val="0"/>
          <w:sz w:val="24"/>
        </w:rPr>
      </w:pPr>
      <w:r>
        <w:rPr>
          <w:rFonts w:hint="eastAsia" w:ascii="仿宋" w:hAnsi="仿宋" w:eastAsia="仿宋" w:cs="宋体"/>
          <w:b/>
          <w:color w:val="auto"/>
          <w:kern w:val="0"/>
          <w:sz w:val="24"/>
        </w:rPr>
        <w:t xml:space="preserve"> 项目废水主要为生活污水</w:t>
      </w:r>
      <w:r>
        <w:rPr>
          <w:rFonts w:hint="eastAsia" w:ascii="仿宋" w:hAnsi="仿宋" w:eastAsia="仿宋" w:cs="宋体"/>
          <w:b/>
          <w:color w:val="auto"/>
          <w:kern w:val="0"/>
          <w:sz w:val="24"/>
          <w:lang w:eastAsia="zh-CN"/>
        </w:rPr>
        <w:t>和生产废水，生产废水包括磷化废水（不外排）和脱脂废水、表调废水、电泳清洗废水等</w:t>
      </w:r>
      <w:r>
        <w:rPr>
          <w:rFonts w:hint="eastAsia" w:ascii="仿宋" w:hAnsi="仿宋" w:eastAsia="仿宋" w:cs="宋体"/>
          <w:b/>
          <w:color w:val="auto"/>
          <w:kern w:val="0"/>
          <w:sz w:val="24"/>
        </w:rPr>
        <w:t>。</w:t>
      </w:r>
    </w:p>
    <w:p>
      <w:pPr>
        <w:spacing w:line="440" w:lineRule="exact"/>
        <w:ind w:firstLine="482" w:firstLineChars="200"/>
        <w:rPr>
          <w:rFonts w:hint="eastAsia" w:ascii="仿宋" w:hAnsi="仿宋" w:eastAsia="仿宋" w:cs="宋体"/>
          <w:b/>
          <w:color w:val="auto"/>
          <w:kern w:val="0"/>
          <w:sz w:val="24"/>
        </w:rPr>
      </w:pPr>
      <w:r>
        <w:rPr>
          <w:rFonts w:hint="eastAsia" w:ascii="仿宋" w:hAnsi="仿宋" w:eastAsia="仿宋" w:cs="宋体"/>
          <w:b/>
          <w:color w:val="auto"/>
          <w:kern w:val="0"/>
          <w:sz w:val="24"/>
        </w:rPr>
        <w:t>生活污水</w:t>
      </w:r>
      <w:r>
        <w:rPr>
          <w:rFonts w:hint="eastAsia" w:ascii="仿宋" w:hAnsi="仿宋" w:eastAsia="仿宋" w:cs="宋体"/>
          <w:b/>
          <w:color w:val="auto"/>
          <w:kern w:val="0"/>
          <w:sz w:val="24"/>
          <w:lang w:eastAsia="zh-CN"/>
        </w:rPr>
        <w:t>经</w:t>
      </w:r>
      <w:r>
        <w:rPr>
          <w:rFonts w:hint="eastAsia" w:ascii="仿宋" w:hAnsi="仿宋" w:eastAsia="仿宋" w:cs="宋体"/>
          <w:b/>
          <w:color w:val="auto"/>
          <w:kern w:val="0"/>
          <w:sz w:val="24"/>
        </w:rPr>
        <w:t>化粪池处理后</w:t>
      </w:r>
      <w:r>
        <w:rPr>
          <w:rFonts w:hint="eastAsia" w:ascii="仿宋" w:hAnsi="仿宋" w:eastAsia="仿宋" w:cs="宋体"/>
          <w:b/>
          <w:color w:val="auto"/>
          <w:kern w:val="0"/>
          <w:sz w:val="24"/>
          <w:lang w:eastAsia="zh-CN"/>
        </w:rPr>
        <w:t>通过总排口</w:t>
      </w:r>
      <w:r>
        <w:rPr>
          <w:rFonts w:hint="eastAsia" w:ascii="仿宋" w:hAnsi="仿宋" w:eastAsia="仿宋" w:cs="宋体"/>
          <w:b/>
          <w:color w:val="auto"/>
          <w:kern w:val="0"/>
          <w:sz w:val="24"/>
        </w:rPr>
        <w:t>排入市政污水管网</w:t>
      </w:r>
      <w:r>
        <w:rPr>
          <w:rFonts w:hint="eastAsia" w:ascii="仿宋" w:hAnsi="仿宋" w:eastAsia="仿宋" w:cs="宋体"/>
          <w:b/>
          <w:color w:val="auto"/>
          <w:kern w:val="0"/>
          <w:sz w:val="24"/>
          <w:lang w:eastAsia="zh-CN"/>
        </w:rPr>
        <w:t>后</w:t>
      </w:r>
      <w:r>
        <w:rPr>
          <w:rFonts w:hint="eastAsia" w:ascii="仿宋" w:hAnsi="仿宋" w:eastAsia="仿宋" w:cs="宋体"/>
          <w:b/>
          <w:color w:val="auto"/>
          <w:kern w:val="0"/>
          <w:sz w:val="24"/>
        </w:rPr>
        <w:t>进入</w:t>
      </w:r>
      <w:r>
        <w:rPr>
          <w:rFonts w:hint="eastAsia" w:ascii="仿宋" w:hAnsi="仿宋" w:eastAsia="仿宋" w:cs="宋体"/>
          <w:b/>
          <w:color w:val="auto"/>
          <w:kern w:val="0"/>
          <w:sz w:val="24"/>
          <w:lang w:eastAsia="zh-CN"/>
        </w:rPr>
        <w:t>黄陵污水处理厂</w:t>
      </w:r>
      <w:r>
        <w:rPr>
          <w:rFonts w:hint="eastAsia" w:ascii="仿宋" w:hAnsi="仿宋" w:eastAsia="仿宋" w:cs="宋体"/>
          <w:b/>
          <w:color w:val="auto"/>
          <w:kern w:val="0"/>
          <w:sz w:val="24"/>
        </w:rPr>
        <w:t>处理。</w:t>
      </w:r>
    </w:p>
    <w:p>
      <w:pPr>
        <w:spacing w:line="440" w:lineRule="exact"/>
        <w:ind w:firstLine="482" w:firstLineChars="200"/>
        <w:rPr>
          <w:rFonts w:ascii="仿宋" w:hAnsi="仿宋" w:eastAsia="仿宋" w:cs="宋体"/>
          <w:b/>
          <w:color w:val="auto"/>
          <w:kern w:val="0"/>
          <w:sz w:val="24"/>
        </w:rPr>
      </w:pPr>
      <w:r>
        <w:rPr>
          <w:rFonts w:hint="eastAsia" w:ascii="仿宋" w:hAnsi="仿宋" w:eastAsia="仿宋" w:cs="宋体"/>
          <w:b/>
          <w:color w:val="auto"/>
          <w:kern w:val="0"/>
          <w:sz w:val="24"/>
          <w:lang w:eastAsia="zh-CN"/>
        </w:rPr>
        <w:t>生产废水：磷化废水经磷化处理系统处理后回用不外排，其他生产废水经生产废水处理站处理达标后通过总排口</w:t>
      </w:r>
      <w:r>
        <w:rPr>
          <w:rFonts w:hint="eastAsia" w:ascii="仿宋" w:hAnsi="仿宋" w:eastAsia="仿宋" w:cs="宋体"/>
          <w:b/>
          <w:color w:val="auto"/>
          <w:kern w:val="0"/>
          <w:sz w:val="24"/>
        </w:rPr>
        <w:t>排入市政污水管网</w:t>
      </w:r>
      <w:r>
        <w:rPr>
          <w:rFonts w:hint="eastAsia" w:ascii="仿宋" w:hAnsi="仿宋" w:eastAsia="仿宋" w:cs="宋体"/>
          <w:b/>
          <w:color w:val="auto"/>
          <w:kern w:val="0"/>
          <w:sz w:val="24"/>
          <w:lang w:eastAsia="zh-CN"/>
        </w:rPr>
        <w:t>后</w:t>
      </w:r>
      <w:r>
        <w:rPr>
          <w:rFonts w:hint="eastAsia" w:ascii="仿宋" w:hAnsi="仿宋" w:eastAsia="仿宋" w:cs="宋体"/>
          <w:b/>
          <w:color w:val="auto"/>
          <w:kern w:val="0"/>
          <w:sz w:val="24"/>
        </w:rPr>
        <w:t>进入</w:t>
      </w:r>
      <w:r>
        <w:rPr>
          <w:rFonts w:hint="eastAsia" w:ascii="仿宋" w:hAnsi="仿宋" w:eastAsia="仿宋" w:cs="宋体"/>
          <w:b/>
          <w:color w:val="auto"/>
          <w:kern w:val="0"/>
          <w:sz w:val="24"/>
          <w:lang w:eastAsia="zh-CN"/>
        </w:rPr>
        <w:t>黄陵污水处理厂</w:t>
      </w:r>
      <w:r>
        <w:rPr>
          <w:rFonts w:hint="eastAsia" w:ascii="仿宋" w:hAnsi="仿宋" w:eastAsia="仿宋" w:cs="宋体"/>
          <w:b/>
          <w:color w:val="auto"/>
          <w:kern w:val="0"/>
          <w:sz w:val="24"/>
        </w:rPr>
        <w:t>处理。</w:t>
      </w:r>
    </w:p>
    <w:p>
      <w:pPr>
        <w:spacing w:line="440" w:lineRule="exact"/>
        <w:ind w:firstLine="482" w:firstLineChars="200"/>
        <w:rPr>
          <w:rFonts w:ascii="仿宋" w:hAnsi="仿宋" w:eastAsia="仿宋" w:cs="宋体"/>
          <w:b/>
          <w:color w:val="auto"/>
          <w:kern w:val="0"/>
          <w:sz w:val="24"/>
        </w:rPr>
      </w:pPr>
      <w:r>
        <w:rPr>
          <w:rFonts w:hint="eastAsia" w:ascii="仿宋" w:hAnsi="仿宋" w:eastAsia="仿宋" w:cs="宋体"/>
          <w:b/>
          <w:color w:val="auto"/>
          <w:kern w:val="0"/>
          <w:sz w:val="24"/>
        </w:rPr>
        <w:t>2、废气</w:t>
      </w:r>
    </w:p>
    <w:p>
      <w:pPr>
        <w:spacing w:line="440" w:lineRule="exact"/>
        <w:ind w:firstLine="482" w:firstLineChars="200"/>
        <w:rPr>
          <w:rFonts w:hint="eastAsia" w:ascii="仿宋" w:hAnsi="仿宋" w:eastAsia="仿宋" w:cs="宋体"/>
          <w:b/>
          <w:color w:val="auto"/>
          <w:kern w:val="0"/>
          <w:sz w:val="24"/>
        </w:rPr>
      </w:pPr>
      <w:r>
        <w:rPr>
          <w:rFonts w:hint="eastAsia" w:ascii="仿宋" w:hAnsi="仿宋" w:eastAsia="仿宋" w:cs="宋体"/>
          <w:b/>
          <w:color w:val="auto"/>
          <w:kern w:val="0"/>
          <w:sz w:val="24"/>
        </w:rPr>
        <w:t>本项目有组织废气主要为焊接废气</w:t>
      </w:r>
      <w:r>
        <w:rPr>
          <w:rFonts w:hint="eastAsia" w:ascii="仿宋" w:hAnsi="仿宋" w:eastAsia="仿宋" w:cs="宋体"/>
          <w:b/>
          <w:color w:val="auto"/>
          <w:kern w:val="0"/>
          <w:sz w:val="24"/>
          <w:lang w:eastAsia="zh-CN"/>
        </w:rPr>
        <w:t>、电泳废气、固化炉废气、锅炉废气</w:t>
      </w:r>
      <w:r>
        <w:rPr>
          <w:rFonts w:hint="eastAsia" w:ascii="仿宋" w:hAnsi="仿宋" w:eastAsia="仿宋" w:cs="宋体"/>
          <w:b/>
          <w:color w:val="auto"/>
          <w:kern w:val="0"/>
          <w:sz w:val="24"/>
        </w:rPr>
        <w:t>，无组织废气主要源于注塑以及不合格品的破碎。废气主要污染物为颗粒物、</w:t>
      </w:r>
      <w:r>
        <w:rPr>
          <w:rFonts w:hint="eastAsia" w:ascii="仿宋" w:hAnsi="仿宋" w:eastAsia="仿宋" w:cs="宋体"/>
          <w:b/>
          <w:color w:val="auto"/>
          <w:kern w:val="0"/>
          <w:sz w:val="24"/>
          <w:lang w:eastAsia="zh-CN"/>
        </w:rPr>
        <w:t>二氧化硫、氮氧化物、挥发性有机物</w:t>
      </w:r>
      <w:r>
        <w:rPr>
          <w:rFonts w:hint="eastAsia" w:ascii="仿宋" w:hAnsi="仿宋" w:eastAsia="仿宋" w:cs="宋体"/>
          <w:b/>
          <w:color w:val="auto"/>
          <w:kern w:val="0"/>
          <w:sz w:val="24"/>
        </w:rPr>
        <w:t>等。</w:t>
      </w:r>
    </w:p>
    <w:p>
      <w:pPr>
        <w:pStyle w:val="15"/>
        <w:keepNext w:val="0"/>
        <w:keepLines w:val="0"/>
        <w:pageBreakBefore w:val="0"/>
        <w:widowControl w:val="0"/>
        <w:numPr>
          <w:ilvl w:val="0"/>
          <w:numId w:val="4"/>
        </w:numPr>
        <w:kinsoku/>
        <w:wordWrap/>
        <w:overflowPunct/>
        <w:topLinePunct w:val="0"/>
        <w:autoSpaceDE w:val="0"/>
        <w:autoSpaceDN w:val="0"/>
        <w:bidi w:val="0"/>
        <w:adjustRightInd/>
        <w:snapToGrid/>
        <w:spacing w:line="440" w:lineRule="exact"/>
        <w:textAlignment w:val="auto"/>
        <w:rPr>
          <w:rFonts w:hint="eastAsia"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有组织废气：</w:t>
      </w:r>
    </w:p>
    <w:p>
      <w:pPr>
        <w:pStyle w:val="15"/>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textAlignment w:val="auto"/>
        <w:rPr>
          <w:rFonts w:hint="eastAsia"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①焊接废气：主要污染物为焊接过程中产生的颗粒物，经滤筒除尘装置处理后通过1根18m高的排气筒有组织排放。</w:t>
      </w:r>
    </w:p>
    <w:p>
      <w:pPr>
        <w:pStyle w:val="15"/>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②电泳废气：电泳过程产生的挥发性有机物经活性炭吸附装置处理后通过1根18m高的排气筒有组织排放。</w:t>
      </w:r>
    </w:p>
    <w:p>
      <w:pPr>
        <w:pStyle w:val="15"/>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③固化炉废气：固化炉产生的颗粒物、二氧化硫、氮氧化物以及挥发性有机物经电加热催化燃烧装置处理后通过1根18m高的排气筒有组织排放。</w:t>
      </w:r>
    </w:p>
    <w:p>
      <w:pPr>
        <w:pStyle w:val="15"/>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④锅炉废气：项目设置2台燃气锅炉（一用一备），燃烧废气分别通过1根18m高的排气筒有组织排放。</w:t>
      </w:r>
    </w:p>
    <w:p>
      <w:pPr>
        <w:pStyle w:val="16"/>
        <w:numPr>
          <w:ilvl w:val="0"/>
          <w:numId w:val="4"/>
        </w:numPr>
        <w:ind w:left="0" w:leftChars="0" w:firstLine="0" w:firstLineChars="0"/>
        <w:rPr>
          <w:rFonts w:hint="eastAsia"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无组织废气：</w:t>
      </w:r>
    </w:p>
    <w:p>
      <w:pPr>
        <w:pStyle w:val="16"/>
        <w:numPr>
          <w:ilvl w:val="0"/>
          <w:numId w:val="0"/>
        </w:numPr>
        <w:ind w:leftChars="0"/>
        <w:rPr>
          <w:rFonts w:hint="default" w:ascii="仿宋" w:hAnsi="仿宋" w:eastAsia="仿宋" w:cs="宋体"/>
          <w:b/>
          <w:color w:val="auto"/>
          <w:kern w:val="0"/>
          <w:sz w:val="24"/>
          <w:szCs w:val="24"/>
          <w:lang w:val="en-US" w:eastAsia="zh-CN" w:bidi="ar-SA"/>
        </w:rPr>
      </w:pPr>
      <w:r>
        <w:rPr>
          <w:rFonts w:hint="eastAsia" w:ascii="仿宋" w:hAnsi="仿宋" w:eastAsia="仿宋" w:cs="宋体"/>
          <w:b/>
          <w:color w:val="auto"/>
          <w:kern w:val="0"/>
          <w:sz w:val="24"/>
          <w:szCs w:val="24"/>
          <w:lang w:val="en-US" w:eastAsia="zh-CN" w:bidi="ar-SA"/>
        </w:rPr>
        <w:t xml:space="preserve">  电泳过程未完全收集的挥发性有机物会通过车间无组织排放到外界。</w:t>
      </w:r>
    </w:p>
    <w:p>
      <w:pPr>
        <w:numPr>
          <w:ilvl w:val="0"/>
          <w:numId w:val="5"/>
        </w:numPr>
        <w:spacing w:line="440" w:lineRule="exact"/>
        <w:ind w:firstLine="482" w:firstLineChars="200"/>
        <w:rPr>
          <w:rFonts w:ascii="仿宋" w:hAnsi="仿宋" w:eastAsia="仿宋" w:cs="宋体"/>
          <w:b/>
          <w:color w:val="auto"/>
          <w:kern w:val="0"/>
          <w:sz w:val="24"/>
        </w:rPr>
      </w:pPr>
      <w:r>
        <w:rPr>
          <w:rFonts w:hint="eastAsia" w:ascii="仿宋" w:hAnsi="仿宋" w:eastAsia="仿宋" w:cs="宋体"/>
          <w:b/>
          <w:color w:val="auto"/>
          <w:kern w:val="0"/>
          <w:sz w:val="24"/>
        </w:rPr>
        <w:t>噪声</w:t>
      </w:r>
    </w:p>
    <w:p>
      <w:pPr>
        <w:spacing w:line="440" w:lineRule="exact"/>
        <w:ind w:firstLine="482" w:firstLineChars="200"/>
        <w:rPr>
          <w:rFonts w:ascii="仿宋" w:hAnsi="仿宋" w:eastAsia="仿宋" w:cs="宋体"/>
          <w:b/>
          <w:color w:val="auto"/>
          <w:kern w:val="0"/>
          <w:sz w:val="24"/>
        </w:rPr>
      </w:pPr>
      <w:r>
        <w:rPr>
          <w:rFonts w:hint="eastAsia" w:ascii="仿宋" w:hAnsi="仿宋" w:eastAsia="仿宋" w:cs="宋体"/>
          <w:b/>
          <w:color w:val="auto"/>
          <w:kern w:val="0"/>
          <w:sz w:val="24"/>
        </w:rPr>
        <w:t>本项目噪声主要为冲压机、空压机、锅炉风机、水泵、冷冻机组、冷却塔</w:t>
      </w:r>
      <w:r>
        <w:rPr>
          <w:rFonts w:hint="eastAsia" w:ascii="仿宋" w:hAnsi="仿宋" w:eastAsia="仿宋" w:cs="宋体"/>
          <w:b/>
          <w:color w:val="auto"/>
          <w:kern w:val="0"/>
          <w:sz w:val="24"/>
          <w:lang w:eastAsia="zh-CN"/>
        </w:rPr>
        <w:t>等设备产生的</w:t>
      </w:r>
      <w:r>
        <w:rPr>
          <w:rFonts w:hint="eastAsia" w:ascii="仿宋" w:hAnsi="仿宋" w:eastAsia="仿宋" w:cs="宋体"/>
          <w:b/>
          <w:color w:val="auto"/>
          <w:kern w:val="0"/>
          <w:sz w:val="24"/>
        </w:rPr>
        <w:t>噪声，主要采取选用低噪声设备，对生产车间内生产设备进行合理布局和减振处理等措施处理。</w:t>
      </w:r>
    </w:p>
    <w:p>
      <w:pPr>
        <w:numPr>
          <w:ilvl w:val="0"/>
          <w:numId w:val="5"/>
        </w:numPr>
        <w:spacing w:line="440" w:lineRule="exact"/>
        <w:ind w:firstLine="482" w:firstLineChars="200"/>
        <w:rPr>
          <w:rFonts w:ascii="仿宋" w:hAnsi="仿宋" w:eastAsia="仿宋" w:cs="宋体"/>
          <w:b/>
          <w:color w:val="auto"/>
          <w:kern w:val="0"/>
          <w:sz w:val="24"/>
        </w:rPr>
      </w:pPr>
      <w:r>
        <w:rPr>
          <w:rFonts w:hint="eastAsia" w:ascii="仿宋" w:hAnsi="仿宋" w:eastAsia="仿宋" w:cs="宋体"/>
          <w:b/>
          <w:color w:val="auto"/>
          <w:kern w:val="0"/>
          <w:sz w:val="24"/>
        </w:rPr>
        <w:t>固体废物</w:t>
      </w:r>
    </w:p>
    <w:p>
      <w:pPr>
        <w:spacing w:line="440" w:lineRule="exact"/>
        <w:ind w:firstLine="482" w:firstLineChars="200"/>
        <w:jc w:val="left"/>
        <w:outlineLvl w:val="0"/>
        <w:rPr>
          <w:rFonts w:hint="eastAsia" w:ascii="仿宋" w:hAnsi="仿宋" w:eastAsia="仿宋"/>
          <w:b/>
          <w:color w:val="auto"/>
          <w:sz w:val="24"/>
          <w:lang w:eastAsia="zh-CN"/>
        </w:rPr>
      </w:pPr>
      <w:r>
        <w:rPr>
          <w:rFonts w:hint="eastAsia" w:ascii="仿宋" w:hAnsi="仿宋" w:eastAsia="仿宋"/>
          <w:b/>
          <w:color w:val="auto"/>
          <w:sz w:val="24"/>
        </w:rPr>
        <w:t>生活垃圾：主要是</w:t>
      </w:r>
      <w:r>
        <w:rPr>
          <w:rFonts w:hint="eastAsia" w:ascii="仿宋" w:hAnsi="仿宋" w:eastAsia="仿宋"/>
          <w:b/>
          <w:color w:val="auto"/>
          <w:sz w:val="24"/>
          <w:lang w:eastAsia="zh-CN"/>
        </w:rPr>
        <w:t>办公生活垃圾，由武汉星宇晨保洁有限公司处置；</w:t>
      </w:r>
    </w:p>
    <w:p>
      <w:pPr>
        <w:spacing w:line="440" w:lineRule="exact"/>
        <w:ind w:firstLine="482" w:firstLineChars="200"/>
        <w:jc w:val="left"/>
        <w:outlineLvl w:val="0"/>
        <w:rPr>
          <w:rFonts w:hint="eastAsia" w:ascii="仿宋" w:hAnsi="仿宋" w:eastAsia="仿宋"/>
          <w:b/>
          <w:color w:val="auto"/>
          <w:sz w:val="24"/>
        </w:rPr>
      </w:pPr>
      <w:r>
        <w:rPr>
          <w:rFonts w:hint="eastAsia" w:ascii="仿宋" w:hAnsi="仿宋" w:eastAsia="仿宋"/>
          <w:b/>
          <w:color w:val="auto"/>
          <w:sz w:val="24"/>
          <w:lang w:eastAsia="zh-CN"/>
        </w:rPr>
        <w:t>一般工业固体废物：主要是边角料、废包装材料，</w:t>
      </w:r>
      <w:r>
        <w:rPr>
          <w:rFonts w:hint="eastAsia" w:ascii="仿宋" w:hAnsi="仿宋" w:eastAsia="仿宋"/>
          <w:b/>
          <w:color w:val="auto"/>
          <w:sz w:val="24"/>
        </w:rPr>
        <w:t>交</w:t>
      </w:r>
      <w:r>
        <w:rPr>
          <w:rFonts w:hint="eastAsia" w:ascii="仿宋" w:hAnsi="仿宋" w:eastAsia="仿宋"/>
          <w:b/>
          <w:color w:val="auto"/>
          <w:sz w:val="24"/>
          <w:lang w:eastAsia="zh-CN"/>
        </w:rPr>
        <w:t>武汉星宇晨保洁有限公司处置</w:t>
      </w:r>
      <w:r>
        <w:rPr>
          <w:rFonts w:hint="eastAsia" w:ascii="仿宋" w:hAnsi="仿宋" w:eastAsia="仿宋"/>
          <w:b/>
          <w:color w:val="auto"/>
          <w:sz w:val="24"/>
        </w:rPr>
        <w:t>。</w:t>
      </w:r>
    </w:p>
    <w:p>
      <w:pPr>
        <w:spacing w:line="440" w:lineRule="exact"/>
        <w:ind w:firstLine="482" w:firstLineChars="200"/>
        <w:jc w:val="left"/>
        <w:outlineLvl w:val="0"/>
        <w:rPr>
          <w:rFonts w:hint="eastAsia" w:ascii="仿宋" w:hAnsi="仿宋" w:eastAsia="仿宋"/>
          <w:b/>
          <w:color w:val="auto"/>
          <w:sz w:val="24"/>
          <w:lang w:eastAsia="zh-CN"/>
        </w:rPr>
      </w:pPr>
      <w:r>
        <w:rPr>
          <w:rFonts w:hint="eastAsia" w:ascii="仿宋" w:hAnsi="仿宋" w:eastAsia="仿宋"/>
          <w:b/>
          <w:color w:val="auto"/>
          <w:sz w:val="24"/>
        </w:rPr>
        <w:t>危废：主要为</w:t>
      </w:r>
      <w:r>
        <w:rPr>
          <w:rFonts w:hint="eastAsia" w:ascii="仿宋" w:hAnsi="仿宋" w:eastAsia="仿宋"/>
          <w:b/>
          <w:color w:val="auto"/>
          <w:sz w:val="24"/>
          <w:lang w:eastAsia="zh-CN"/>
        </w:rPr>
        <w:t>电泳污泥（</w:t>
      </w:r>
      <w:r>
        <w:rPr>
          <w:rFonts w:hint="eastAsia" w:ascii="仿宋" w:hAnsi="仿宋" w:eastAsia="仿宋"/>
          <w:b/>
          <w:color w:val="auto"/>
          <w:sz w:val="24"/>
          <w:lang w:val="en-US" w:eastAsia="zh-CN"/>
        </w:rPr>
        <w:t>HW17</w:t>
      </w:r>
      <w:r>
        <w:rPr>
          <w:rFonts w:hint="eastAsia" w:ascii="仿宋" w:hAnsi="仿宋" w:eastAsia="仿宋"/>
          <w:b/>
          <w:color w:val="auto"/>
          <w:sz w:val="24"/>
          <w:lang w:eastAsia="zh-CN"/>
        </w:rPr>
        <w:t>）、清洗废液（</w:t>
      </w:r>
      <w:r>
        <w:rPr>
          <w:rFonts w:hint="eastAsia" w:ascii="仿宋" w:hAnsi="仿宋" w:eastAsia="仿宋"/>
          <w:b/>
          <w:color w:val="auto"/>
          <w:sz w:val="24"/>
          <w:lang w:val="en-US" w:eastAsia="zh-CN"/>
        </w:rPr>
        <w:t>HW06</w:t>
      </w:r>
      <w:r>
        <w:rPr>
          <w:rFonts w:hint="eastAsia" w:ascii="仿宋" w:hAnsi="仿宋" w:eastAsia="仿宋"/>
          <w:b/>
          <w:color w:val="auto"/>
          <w:sz w:val="24"/>
          <w:lang w:eastAsia="zh-CN"/>
        </w:rPr>
        <w:t>）、油漆渣（</w:t>
      </w:r>
      <w:r>
        <w:rPr>
          <w:rFonts w:hint="eastAsia" w:ascii="仿宋" w:hAnsi="仿宋" w:eastAsia="仿宋"/>
          <w:b/>
          <w:color w:val="auto"/>
          <w:sz w:val="24"/>
          <w:lang w:val="en-US" w:eastAsia="zh-CN"/>
        </w:rPr>
        <w:t>HW06</w:t>
      </w:r>
      <w:r>
        <w:rPr>
          <w:rFonts w:hint="eastAsia" w:ascii="仿宋" w:hAnsi="仿宋" w:eastAsia="仿宋"/>
          <w:b/>
          <w:color w:val="auto"/>
          <w:sz w:val="24"/>
          <w:lang w:eastAsia="zh-CN"/>
        </w:rPr>
        <w:t>）、涂料废物（</w:t>
      </w:r>
      <w:r>
        <w:rPr>
          <w:rFonts w:hint="eastAsia" w:ascii="仿宋" w:hAnsi="仿宋" w:eastAsia="仿宋"/>
          <w:b/>
          <w:color w:val="auto"/>
          <w:sz w:val="24"/>
          <w:lang w:val="en-US" w:eastAsia="zh-CN"/>
        </w:rPr>
        <w:t>HW12</w:t>
      </w:r>
      <w:r>
        <w:rPr>
          <w:rFonts w:hint="eastAsia" w:ascii="仿宋" w:hAnsi="仿宋" w:eastAsia="仿宋"/>
          <w:b/>
          <w:color w:val="auto"/>
          <w:sz w:val="24"/>
          <w:lang w:eastAsia="zh-CN"/>
        </w:rPr>
        <w:t>）、废油（</w:t>
      </w:r>
      <w:r>
        <w:rPr>
          <w:rFonts w:hint="eastAsia" w:ascii="仿宋" w:hAnsi="仿宋" w:eastAsia="仿宋"/>
          <w:b/>
          <w:color w:val="auto"/>
          <w:sz w:val="24"/>
          <w:lang w:val="en-US" w:eastAsia="zh-CN"/>
        </w:rPr>
        <w:t>HW08</w:t>
      </w:r>
      <w:r>
        <w:rPr>
          <w:rFonts w:hint="eastAsia" w:ascii="仿宋" w:hAnsi="仿宋" w:eastAsia="仿宋"/>
          <w:b/>
          <w:color w:val="auto"/>
          <w:sz w:val="24"/>
          <w:lang w:eastAsia="zh-CN"/>
        </w:rPr>
        <w:t>）、废切削液（</w:t>
      </w:r>
      <w:r>
        <w:rPr>
          <w:rFonts w:hint="eastAsia" w:ascii="仿宋" w:hAnsi="仿宋" w:eastAsia="仿宋"/>
          <w:b/>
          <w:color w:val="auto"/>
          <w:sz w:val="24"/>
          <w:lang w:val="en-US" w:eastAsia="zh-CN"/>
        </w:rPr>
        <w:t>HW09</w:t>
      </w:r>
      <w:r>
        <w:rPr>
          <w:rFonts w:hint="eastAsia" w:ascii="仿宋" w:hAnsi="仿宋" w:eastAsia="仿宋"/>
          <w:b/>
          <w:color w:val="auto"/>
          <w:sz w:val="24"/>
          <w:lang w:eastAsia="zh-CN"/>
        </w:rPr>
        <w:t>）</w:t>
      </w:r>
      <w:r>
        <w:rPr>
          <w:rFonts w:hint="eastAsia" w:ascii="仿宋" w:hAnsi="仿宋" w:eastAsia="仿宋"/>
          <w:b/>
          <w:color w:val="auto"/>
          <w:sz w:val="24"/>
        </w:rPr>
        <w:t>，经专门的收集装置收集后，交</w:t>
      </w:r>
      <w:r>
        <w:rPr>
          <w:rFonts w:hint="eastAsia" w:ascii="仿宋" w:hAnsi="仿宋" w:eastAsia="仿宋"/>
          <w:b/>
          <w:color w:val="auto"/>
          <w:sz w:val="24"/>
          <w:lang w:eastAsia="zh-CN"/>
        </w:rPr>
        <w:t>潜江东园深蓝环保科技有限公司</w:t>
      </w:r>
      <w:r>
        <w:rPr>
          <w:rFonts w:hint="eastAsia" w:ascii="仿宋" w:hAnsi="仿宋" w:eastAsia="仿宋"/>
          <w:b/>
          <w:color w:val="auto"/>
          <w:sz w:val="24"/>
        </w:rPr>
        <w:t>处</w:t>
      </w:r>
      <w:r>
        <w:rPr>
          <w:rFonts w:hint="eastAsia" w:ascii="仿宋" w:hAnsi="仿宋" w:eastAsia="仿宋"/>
          <w:b/>
          <w:color w:val="auto"/>
          <w:sz w:val="24"/>
          <w:lang w:eastAsia="zh-CN"/>
        </w:rPr>
        <w:t>理。</w:t>
      </w:r>
    </w:p>
    <w:p>
      <w:pPr>
        <w:spacing w:line="440" w:lineRule="exact"/>
        <w:jc w:val="left"/>
        <w:outlineLvl w:val="0"/>
        <w:rPr>
          <w:rFonts w:ascii="仿宋" w:hAnsi="仿宋" w:eastAsia="仿宋"/>
          <w:b/>
          <w:color w:val="auto"/>
          <w:sz w:val="24"/>
        </w:rPr>
      </w:pPr>
      <w:r>
        <w:rPr>
          <w:rFonts w:hint="eastAsia" w:ascii="仿宋" w:hAnsi="仿宋" w:eastAsia="仿宋"/>
          <w:b/>
          <w:color w:val="auto"/>
          <w:sz w:val="24"/>
        </w:rPr>
        <w:t>四</w:t>
      </w:r>
      <w:r>
        <w:rPr>
          <w:rFonts w:ascii="仿宋" w:hAnsi="仿宋" w:eastAsia="仿宋"/>
          <w:b/>
          <w:color w:val="auto"/>
          <w:sz w:val="24"/>
        </w:rPr>
        <w:t>、环境保护设施调试效果</w:t>
      </w:r>
    </w:p>
    <w:p>
      <w:pPr>
        <w:widowControl/>
        <w:spacing w:line="440" w:lineRule="exact"/>
        <w:ind w:firstLine="482" w:firstLineChars="200"/>
        <w:jc w:val="left"/>
        <w:rPr>
          <w:rFonts w:ascii="仿宋" w:hAnsi="仿宋" w:eastAsia="仿宋" w:cs="宋体"/>
          <w:b/>
          <w:color w:val="auto"/>
          <w:kern w:val="0"/>
          <w:sz w:val="24"/>
        </w:rPr>
      </w:pPr>
      <w:r>
        <w:rPr>
          <w:rFonts w:hint="eastAsia" w:ascii="仿宋" w:hAnsi="仿宋" w:eastAsia="仿宋" w:cs="宋体"/>
          <w:b/>
          <w:color w:val="auto"/>
          <w:kern w:val="0"/>
          <w:sz w:val="24"/>
        </w:rPr>
        <w:t>1、废水</w:t>
      </w:r>
    </w:p>
    <w:p>
      <w:pPr>
        <w:widowControl/>
        <w:spacing w:line="440" w:lineRule="exact"/>
        <w:ind w:firstLine="482" w:firstLineChars="200"/>
        <w:jc w:val="left"/>
        <w:rPr>
          <w:rFonts w:hint="eastAsia" w:ascii="仿宋" w:hAnsi="仿宋" w:eastAsia="仿宋" w:cs="宋体"/>
          <w:b/>
          <w:color w:val="auto"/>
          <w:kern w:val="0"/>
          <w:sz w:val="24"/>
        </w:rPr>
      </w:pPr>
      <w:r>
        <w:rPr>
          <w:rFonts w:hint="eastAsia" w:ascii="仿宋" w:hAnsi="仿宋" w:eastAsia="仿宋" w:cs="宋体"/>
          <w:b/>
          <w:color w:val="auto"/>
          <w:kern w:val="0"/>
          <w:sz w:val="24"/>
        </w:rPr>
        <w:t>本次验收监测期间，本次项目总排口</w:t>
      </w:r>
      <w:r>
        <w:rPr>
          <w:rFonts w:hint="eastAsia" w:ascii="仿宋" w:hAnsi="仿宋" w:eastAsia="仿宋" w:cs="宋体"/>
          <w:b/>
          <w:color w:val="auto"/>
          <w:kern w:val="0"/>
          <w:sz w:val="24"/>
          <w:lang w:eastAsia="zh-CN"/>
        </w:rPr>
        <w:t>废水</w:t>
      </w:r>
      <w:r>
        <w:rPr>
          <w:rFonts w:hint="eastAsia" w:ascii="仿宋" w:hAnsi="仿宋" w:eastAsia="仿宋" w:cs="宋体"/>
          <w:b/>
          <w:color w:val="auto"/>
          <w:kern w:val="0"/>
          <w:sz w:val="24"/>
        </w:rPr>
        <w:t>中pH值为</w:t>
      </w:r>
      <w:r>
        <w:rPr>
          <w:rFonts w:hint="eastAsia" w:ascii="仿宋" w:hAnsi="仿宋" w:eastAsia="仿宋" w:cs="宋体"/>
          <w:b/>
          <w:color w:val="auto"/>
          <w:kern w:val="0"/>
          <w:sz w:val="24"/>
          <w:lang w:val="en-US" w:eastAsia="zh-CN"/>
        </w:rPr>
        <w:t>7.3</w:t>
      </w:r>
      <w:r>
        <w:rPr>
          <w:rFonts w:hint="eastAsia" w:ascii="仿宋" w:hAnsi="仿宋" w:eastAsia="仿宋" w:cs="宋体"/>
          <w:b/>
          <w:color w:val="auto"/>
          <w:kern w:val="0"/>
          <w:sz w:val="24"/>
        </w:rPr>
        <w:t>~7.4、悬浮物最大值为</w:t>
      </w:r>
      <w:r>
        <w:rPr>
          <w:rFonts w:hint="eastAsia" w:ascii="仿宋" w:hAnsi="仿宋" w:eastAsia="仿宋" w:cs="宋体"/>
          <w:b/>
          <w:color w:val="auto"/>
          <w:kern w:val="0"/>
          <w:sz w:val="24"/>
          <w:lang w:val="en-US" w:eastAsia="zh-CN"/>
        </w:rPr>
        <w:t>12</w:t>
      </w:r>
      <w:r>
        <w:rPr>
          <w:rFonts w:hint="eastAsia" w:ascii="仿宋" w:hAnsi="仿宋" w:eastAsia="仿宋" w:cs="宋体"/>
          <w:b/>
          <w:color w:val="auto"/>
          <w:kern w:val="0"/>
          <w:sz w:val="24"/>
        </w:rPr>
        <w:t>mg/L、化学需氧量最大值为</w:t>
      </w:r>
      <w:r>
        <w:rPr>
          <w:rFonts w:hint="eastAsia" w:ascii="仿宋" w:hAnsi="仿宋" w:eastAsia="仿宋" w:cs="宋体"/>
          <w:b/>
          <w:color w:val="auto"/>
          <w:kern w:val="0"/>
          <w:sz w:val="24"/>
          <w:lang w:val="en-US" w:eastAsia="zh-CN"/>
        </w:rPr>
        <w:t>216</w:t>
      </w:r>
      <w:r>
        <w:rPr>
          <w:rFonts w:hint="eastAsia" w:ascii="仿宋" w:hAnsi="仿宋" w:eastAsia="仿宋" w:cs="宋体"/>
          <w:b/>
          <w:color w:val="auto"/>
          <w:kern w:val="0"/>
          <w:sz w:val="24"/>
        </w:rPr>
        <w:t>mg/L、五日生化需氧量最大值为</w:t>
      </w:r>
      <w:r>
        <w:rPr>
          <w:rFonts w:hint="eastAsia" w:ascii="仿宋" w:hAnsi="仿宋" w:eastAsia="仿宋" w:cs="宋体"/>
          <w:b/>
          <w:color w:val="auto"/>
          <w:kern w:val="0"/>
          <w:sz w:val="24"/>
          <w:lang w:val="en-US" w:eastAsia="zh-CN"/>
        </w:rPr>
        <w:t>80.8</w:t>
      </w:r>
      <w:r>
        <w:rPr>
          <w:rFonts w:hint="eastAsia" w:ascii="仿宋" w:hAnsi="仿宋" w:eastAsia="仿宋" w:cs="宋体"/>
          <w:b/>
          <w:color w:val="auto"/>
          <w:kern w:val="0"/>
          <w:sz w:val="24"/>
        </w:rPr>
        <w:t>mg/L</w:t>
      </w:r>
      <w:r>
        <w:rPr>
          <w:rFonts w:hint="eastAsia" w:ascii="仿宋" w:hAnsi="仿宋" w:eastAsia="仿宋" w:cs="宋体"/>
          <w:b/>
          <w:color w:val="auto"/>
          <w:kern w:val="0"/>
          <w:sz w:val="24"/>
          <w:lang w:eastAsia="zh-CN"/>
        </w:rPr>
        <w:t>、</w:t>
      </w:r>
      <w:r>
        <w:rPr>
          <w:rFonts w:hint="eastAsia" w:ascii="仿宋" w:hAnsi="仿宋" w:eastAsia="仿宋" w:cs="宋体"/>
          <w:b/>
          <w:color w:val="auto"/>
          <w:kern w:val="0"/>
          <w:sz w:val="24"/>
        </w:rPr>
        <w:t>石油类最大值为0.</w:t>
      </w:r>
      <w:r>
        <w:rPr>
          <w:rFonts w:hint="eastAsia" w:ascii="仿宋" w:hAnsi="仿宋" w:eastAsia="仿宋" w:cs="宋体"/>
          <w:b/>
          <w:color w:val="auto"/>
          <w:kern w:val="0"/>
          <w:sz w:val="24"/>
          <w:lang w:val="en-US" w:eastAsia="zh-CN"/>
        </w:rPr>
        <w:t>28</w:t>
      </w:r>
      <w:r>
        <w:rPr>
          <w:rFonts w:hint="eastAsia" w:ascii="仿宋" w:hAnsi="仿宋" w:eastAsia="仿宋" w:cs="宋体"/>
          <w:b/>
          <w:color w:val="auto"/>
          <w:kern w:val="0"/>
          <w:sz w:val="24"/>
        </w:rPr>
        <w:t>mg/L</w:t>
      </w:r>
      <w:r>
        <w:rPr>
          <w:rFonts w:hint="eastAsia" w:ascii="仿宋" w:hAnsi="仿宋" w:eastAsia="仿宋" w:cs="宋体"/>
          <w:b/>
          <w:color w:val="auto"/>
          <w:kern w:val="0"/>
          <w:sz w:val="24"/>
          <w:lang w:eastAsia="zh-CN"/>
        </w:rPr>
        <w:t>、动植物油最大值为</w:t>
      </w:r>
      <w:r>
        <w:rPr>
          <w:rFonts w:hint="eastAsia" w:ascii="仿宋" w:hAnsi="仿宋" w:eastAsia="仿宋" w:cs="宋体"/>
          <w:b/>
          <w:color w:val="auto"/>
          <w:kern w:val="0"/>
          <w:sz w:val="24"/>
          <w:lang w:val="en-US" w:eastAsia="zh-CN"/>
        </w:rPr>
        <w:t>3.28</w:t>
      </w:r>
      <w:r>
        <w:rPr>
          <w:rFonts w:hint="eastAsia" w:ascii="仿宋" w:hAnsi="仿宋" w:eastAsia="仿宋" w:cs="宋体"/>
          <w:b/>
          <w:color w:val="auto"/>
          <w:kern w:val="0"/>
          <w:sz w:val="24"/>
        </w:rPr>
        <w:t>mg/L</w:t>
      </w:r>
      <w:r>
        <w:rPr>
          <w:rFonts w:hint="eastAsia" w:ascii="仿宋" w:hAnsi="仿宋" w:eastAsia="仿宋" w:cs="宋体"/>
          <w:b/>
          <w:color w:val="auto"/>
          <w:kern w:val="0"/>
          <w:sz w:val="24"/>
          <w:lang w:eastAsia="zh-CN"/>
        </w:rPr>
        <w:t>、阴离子表面活性剂最大值为</w:t>
      </w:r>
      <w:r>
        <w:rPr>
          <w:rFonts w:hint="eastAsia" w:ascii="仿宋" w:hAnsi="仿宋" w:eastAsia="仿宋" w:cs="宋体"/>
          <w:b/>
          <w:color w:val="auto"/>
          <w:kern w:val="0"/>
          <w:sz w:val="24"/>
          <w:lang w:val="en-US" w:eastAsia="zh-CN"/>
        </w:rPr>
        <w:t>0.45</w:t>
      </w:r>
      <w:r>
        <w:rPr>
          <w:rFonts w:hint="eastAsia" w:ascii="仿宋" w:hAnsi="仿宋" w:eastAsia="仿宋" w:cs="宋体"/>
          <w:b/>
          <w:color w:val="auto"/>
          <w:kern w:val="0"/>
          <w:sz w:val="24"/>
        </w:rPr>
        <w:t>mg/L</w:t>
      </w:r>
      <w:r>
        <w:rPr>
          <w:rFonts w:hint="eastAsia" w:ascii="仿宋" w:hAnsi="仿宋" w:eastAsia="仿宋" w:cs="宋体"/>
          <w:b/>
          <w:color w:val="auto"/>
          <w:kern w:val="0"/>
          <w:sz w:val="24"/>
          <w:lang w:eastAsia="zh-CN"/>
        </w:rPr>
        <w:t>、总锌未检出，</w:t>
      </w:r>
      <w:r>
        <w:rPr>
          <w:rFonts w:hint="eastAsia" w:ascii="仿宋" w:hAnsi="仿宋" w:eastAsia="仿宋" w:cs="宋体"/>
          <w:b/>
          <w:color w:val="auto"/>
          <w:kern w:val="0"/>
          <w:sz w:val="24"/>
        </w:rPr>
        <w:t>监测结果均符合《污水综合排放标准》（GB 8978-1996）表4三级标准限值要求。氨氮最大值为</w:t>
      </w:r>
      <w:r>
        <w:rPr>
          <w:rFonts w:hint="eastAsia" w:ascii="仿宋" w:hAnsi="仿宋" w:eastAsia="仿宋" w:cs="宋体"/>
          <w:b/>
          <w:color w:val="auto"/>
          <w:kern w:val="0"/>
          <w:sz w:val="24"/>
          <w:lang w:val="en-US" w:eastAsia="zh-CN"/>
        </w:rPr>
        <w:t>2.05</w:t>
      </w:r>
      <w:r>
        <w:rPr>
          <w:rFonts w:hint="eastAsia" w:ascii="仿宋" w:hAnsi="仿宋" w:eastAsia="仿宋" w:cs="宋体"/>
          <w:b/>
          <w:color w:val="auto"/>
          <w:kern w:val="0"/>
          <w:sz w:val="24"/>
        </w:rPr>
        <w:t>mg/L</w:t>
      </w:r>
      <w:r>
        <w:rPr>
          <w:rFonts w:hint="eastAsia" w:ascii="仿宋" w:hAnsi="仿宋" w:eastAsia="仿宋" w:cs="宋体"/>
          <w:b/>
          <w:color w:val="auto"/>
          <w:kern w:val="0"/>
          <w:sz w:val="24"/>
          <w:lang w:eastAsia="zh-CN"/>
        </w:rPr>
        <w:t>、磷酸盐最大值为</w:t>
      </w:r>
      <w:r>
        <w:rPr>
          <w:rFonts w:hint="eastAsia" w:ascii="仿宋" w:hAnsi="仿宋" w:eastAsia="仿宋" w:cs="宋体"/>
          <w:b/>
          <w:color w:val="auto"/>
          <w:kern w:val="0"/>
          <w:sz w:val="24"/>
          <w:lang w:val="en-US" w:eastAsia="zh-CN"/>
        </w:rPr>
        <w:t>1.06</w:t>
      </w:r>
      <w:r>
        <w:rPr>
          <w:rFonts w:hint="eastAsia" w:ascii="仿宋" w:hAnsi="仿宋" w:eastAsia="仿宋" w:cs="宋体"/>
          <w:b/>
          <w:color w:val="auto"/>
          <w:kern w:val="0"/>
          <w:sz w:val="24"/>
        </w:rPr>
        <w:t>mg/L</w:t>
      </w:r>
      <w:r>
        <w:rPr>
          <w:rFonts w:hint="eastAsia" w:ascii="仿宋" w:hAnsi="仿宋" w:eastAsia="仿宋" w:cs="宋体"/>
          <w:b/>
          <w:color w:val="auto"/>
          <w:kern w:val="0"/>
          <w:sz w:val="24"/>
          <w:lang w:eastAsia="zh-CN"/>
        </w:rPr>
        <w:t>，</w:t>
      </w:r>
      <w:r>
        <w:rPr>
          <w:rFonts w:hint="eastAsia" w:ascii="仿宋" w:hAnsi="仿宋" w:eastAsia="仿宋" w:cs="宋体"/>
          <w:b/>
          <w:color w:val="auto"/>
          <w:kern w:val="0"/>
          <w:sz w:val="24"/>
        </w:rPr>
        <w:t>监测结果符合《污水排入城镇下水道水质标准》（GB/T 31962-2015）表1B级标准限值要求。</w:t>
      </w:r>
    </w:p>
    <w:p>
      <w:pPr>
        <w:widowControl/>
        <w:spacing w:line="440" w:lineRule="exact"/>
        <w:ind w:firstLine="482" w:firstLineChars="200"/>
        <w:jc w:val="left"/>
        <w:rPr>
          <w:rFonts w:ascii="仿宋" w:hAnsi="仿宋" w:eastAsia="仿宋" w:cs="宋体"/>
          <w:b/>
          <w:color w:val="auto"/>
          <w:kern w:val="0"/>
          <w:sz w:val="24"/>
        </w:rPr>
      </w:pPr>
      <w:r>
        <w:rPr>
          <w:rFonts w:hint="eastAsia" w:ascii="仿宋" w:hAnsi="仿宋" w:eastAsia="仿宋" w:cs="宋体"/>
          <w:b/>
          <w:color w:val="auto"/>
          <w:kern w:val="0"/>
          <w:sz w:val="24"/>
        </w:rPr>
        <w:t>2、废气</w:t>
      </w:r>
    </w:p>
    <w:p>
      <w:pPr>
        <w:widowControl/>
        <w:spacing w:line="440" w:lineRule="exact"/>
        <w:ind w:firstLine="482" w:firstLineChars="200"/>
        <w:jc w:val="left"/>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有组织废气：</w:t>
      </w:r>
      <w:r>
        <w:rPr>
          <w:rFonts w:hint="eastAsia" w:ascii="仿宋" w:hAnsi="仿宋" w:eastAsia="仿宋" w:cs="仿宋"/>
          <w:b/>
          <w:bCs/>
          <w:color w:val="auto"/>
          <w:sz w:val="24"/>
          <w:lang w:eastAsia="zh-CN"/>
        </w:rPr>
        <w:t>电泳</w:t>
      </w:r>
      <w:r>
        <w:rPr>
          <w:rFonts w:hint="eastAsia" w:ascii="仿宋" w:hAnsi="仿宋" w:eastAsia="仿宋" w:cs="仿宋"/>
          <w:b/>
          <w:bCs/>
          <w:color w:val="auto"/>
          <w:sz w:val="24"/>
        </w:rPr>
        <w:t>废气排气筒中</w:t>
      </w:r>
      <w:r>
        <w:rPr>
          <w:rFonts w:hint="eastAsia" w:ascii="仿宋" w:hAnsi="仿宋" w:eastAsia="仿宋" w:cs="仿宋"/>
          <w:b/>
          <w:bCs/>
          <w:color w:val="auto"/>
          <w:sz w:val="24"/>
          <w:lang w:eastAsia="zh-CN"/>
        </w:rPr>
        <w:t>非甲烷总烃</w:t>
      </w:r>
      <w:r>
        <w:rPr>
          <w:rFonts w:hint="eastAsia" w:ascii="仿宋" w:hAnsi="仿宋" w:eastAsia="仿宋" w:cs="仿宋"/>
          <w:b/>
          <w:bCs/>
          <w:color w:val="auto"/>
          <w:sz w:val="24"/>
        </w:rPr>
        <w:t>排放浓度最大值为</w:t>
      </w:r>
      <w:r>
        <w:rPr>
          <w:rFonts w:hint="eastAsia" w:ascii="仿宋" w:hAnsi="仿宋" w:eastAsia="仿宋" w:cs="仿宋"/>
          <w:b/>
          <w:bCs/>
          <w:color w:val="auto"/>
          <w:sz w:val="24"/>
          <w:lang w:val="en-US" w:eastAsia="zh-CN"/>
        </w:rPr>
        <w:t>19.3</w:t>
      </w:r>
      <w:r>
        <w:rPr>
          <w:rFonts w:hint="eastAsia" w:ascii="仿宋" w:hAnsi="仿宋" w:eastAsia="仿宋" w:cs="仿宋"/>
          <w:b/>
          <w:bCs/>
          <w:color w:val="auto"/>
          <w:sz w:val="24"/>
        </w:rPr>
        <w:t>mg/m</w:t>
      </w:r>
      <w:r>
        <w:rPr>
          <w:rFonts w:hint="eastAsia" w:ascii="仿宋" w:hAnsi="仿宋" w:eastAsia="仿宋" w:cs="仿宋"/>
          <w:b/>
          <w:bCs/>
          <w:color w:val="auto"/>
          <w:sz w:val="24"/>
          <w:vertAlign w:val="superscript"/>
        </w:rPr>
        <w:t>3</w:t>
      </w:r>
      <w:r>
        <w:rPr>
          <w:rFonts w:hint="eastAsia" w:ascii="仿宋" w:hAnsi="仿宋" w:eastAsia="仿宋" w:cs="仿宋"/>
          <w:b/>
          <w:bCs/>
          <w:color w:val="auto"/>
          <w:sz w:val="24"/>
          <w:lang w:eastAsia="zh-CN"/>
        </w:rPr>
        <w:t>，排放速率最大值</w:t>
      </w:r>
      <w:r>
        <w:rPr>
          <w:rFonts w:hint="eastAsia" w:ascii="仿宋" w:hAnsi="仿宋" w:eastAsia="仿宋" w:cs="仿宋"/>
          <w:b/>
          <w:bCs/>
          <w:color w:val="auto"/>
          <w:sz w:val="24"/>
          <w:lang w:val="en-US" w:eastAsia="zh-CN"/>
        </w:rPr>
        <w:t>0.14</w:t>
      </w:r>
      <w:r>
        <w:rPr>
          <w:rFonts w:hint="eastAsia" w:ascii="仿宋" w:hAnsi="仿宋" w:eastAsia="仿宋" w:cs="仿宋"/>
          <w:b/>
          <w:bCs/>
          <w:color w:val="auto"/>
          <w:sz w:val="24"/>
        </w:rPr>
        <w:t>kg/h，</w:t>
      </w:r>
      <w:r>
        <w:rPr>
          <w:rFonts w:hint="eastAsia" w:ascii="仿宋" w:hAnsi="仿宋" w:eastAsia="仿宋" w:cs="仿宋"/>
          <w:b/>
          <w:bCs/>
          <w:color w:val="auto"/>
          <w:sz w:val="24"/>
          <w:lang w:val="en-US" w:eastAsia="zh-CN"/>
        </w:rPr>
        <w:t>固化炉</w:t>
      </w:r>
      <w:r>
        <w:rPr>
          <w:rFonts w:hint="eastAsia" w:ascii="仿宋" w:hAnsi="仿宋" w:eastAsia="仿宋" w:cs="仿宋"/>
          <w:b/>
          <w:bCs/>
          <w:color w:val="auto"/>
          <w:sz w:val="24"/>
        </w:rPr>
        <w:t>废气排气筒中</w:t>
      </w:r>
      <w:r>
        <w:rPr>
          <w:rFonts w:hint="eastAsia" w:ascii="仿宋" w:hAnsi="仿宋" w:eastAsia="仿宋" w:cs="仿宋"/>
          <w:b/>
          <w:bCs/>
          <w:color w:val="auto"/>
          <w:sz w:val="24"/>
          <w:lang w:eastAsia="zh-CN"/>
        </w:rPr>
        <w:t>非甲烷总烃</w:t>
      </w:r>
      <w:r>
        <w:rPr>
          <w:rFonts w:hint="eastAsia" w:ascii="仿宋" w:hAnsi="仿宋" w:eastAsia="仿宋" w:cs="仿宋"/>
          <w:b/>
          <w:bCs/>
          <w:color w:val="auto"/>
          <w:sz w:val="24"/>
        </w:rPr>
        <w:t>排放浓度最大值为</w:t>
      </w:r>
      <w:r>
        <w:rPr>
          <w:rFonts w:hint="eastAsia" w:ascii="仿宋" w:hAnsi="仿宋" w:eastAsia="仿宋" w:cs="仿宋"/>
          <w:b/>
          <w:bCs/>
          <w:color w:val="auto"/>
          <w:sz w:val="24"/>
          <w:lang w:val="en-US" w:eastAsia="zh-CN"/>
        </w:rPr>
        <w:t>7.6</w:t>
      </w:r>
      <w:r>
        <w:rPr>
          <w:rFonts w:hint="eastAsia" w:ascii="仿宋" w:hAnsi="仿宋" w:eastAsia="仿宋" w:cs="仿宋"/>
          <w:b/>
          <w:bCs/>
          <w:color w:val="auto"/>
          <w:sz w:val="24"/>
        </w:rPr>
        <w:t>mg/m</w:t>
      </w:r>
      <w:r>
        <w:rPr>
          <w:rFonts w:hint="eastAsia" w:ascii="仿宋" w:hAnsi="仿宋" w:eastAsia="仿宋" w:cs="仿宋"/>
          <w:b/>
          <w:bCs/>
          <w:color w:val="auto"/>
          <w:sz w:val="24"/>
          <w:vertAlign w:val="superscript"/>
        </w:rPr>
        <w:t>3</w:t>
      </w:r>
      <w:r>
        <w:rPr>
          <w:rFonts w:hint="eastAsia" w:ascii="仿宋" w:hAnsi="仿宋" w:eastAsia="仿宋" w:cs="仿宋"/>
          <w:b/>
          <w:bCs/>
          <w:color w:val="auto"/>
          <w:sz w:val="24"/>
          <w:lang w:eastAsia="zh-CN"/>
        </w:rPr>
        <w:t>，排放速率最大值</w:t>
      </w:r>
      <w:r>
        <w:rPr>
          <w:rFonts w:hint="eastAsia" w:ascii="仿宋" w:hAnsi="仿宋" w:eastAsia="仿宋" w:cs="仿宋"/>
          <w:b/>
          <w:bCs/>
          <w:color w:val="auto"/>
          <w:sz w:val="24"/>
          <w:lang w:val="en-US" w:eastAsia="zh-CN"/>
        </w:rPr>
        <w:t>0.059</w:t>
      </w:r>
      <w:r>
        <w:rPr>
          <w:rFonts w:hint="eastAsia" w:ascii="仿宋" w:hAnsi="仿宋" w:eastAsia="仿宋" w:cs="仿宋"/>
          <w:b/>
          <w:bCs/>
          <w:color w:val="auto"/>
          <w:sz w:val="24"/>
        </w:rPr>
        <w:t>kg/h</w:t>
      </w:r>
      <w:r>
        <w:rPr>
          <w:rFonts w:hint="eastAsia" w:ascii="仿宋" w:hAnsi="仿宋" w:eastAsia="仿宋" w:cs="仿宋"/>
          <w:b/>
          <w:bCs/>
          <w:color w:val="auto"/>
          <w:sz w:val="24"/>
          <w:lang w:eastAsia="zh-CN"/>
        </w:rPr>
        <w:t>，均</w:t>
      </w:r>
      <w:r>
        <w:rPr>
          <w:rFonts w:hint="eastAsia" w:ascii="仿宋" w:hAnsi="仿宋" w:eastAsia="仿宋" w:cs="仿宋"/>
          <w:b/>
          <w:bCs/>
          <w:color w:val="auto"/>
          <w:sz w:val="24"/>
        </w:rPr>
        <w:t>符合</w:t>
      </w:r>
      <w:r>
        <w:rPr>
          <w:rFonts w:hint="eastAsia" w:ascii="仿宋" w:hAnsi="仿宋" w:eastAsia="仿宋" w:cs="仿宋"/>
          <w:b/>
          <w:bCs/>
          <w:color w:val="auto"/>
          <w:sz w:val="24"/>
          <w:lang w:val="en-US" w:eastAsia="zh-CN"/>
        </w:rPr>
        <w:t>《厦门市大气污染物排放标准限值》（DB35/323-2018）表2工业涂装工序标准限值要求。</w:t>
      </w:r>
    </w:p>
    <w:p>
      <w:pPr>
        <w:widowControl/>
        <w:spacing w:line="440" w:lineRule="exact"/>
        <w:ind w:firstLine="482" w:firstLineChars="200"/>
        <w:jc w:val="left"/>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固化炉废气排气筒中颗粒物、氮氧化物排放浓度最大值分别为6.3</w:t>
      </w:r>
      <w:r>
        <w:rPr>
          <w:rFonts w:hint="eastAsia" w:ascii="仿宋" w:hAnsi="仿宋" w:eastAsia="仿宋" w:cs="仿宋"/>
          <w:b/>
          <w:bCs/>
          <w:color w:val="auto"/>
          <w:sz w:val="24"/>
        </w:rPr>
        <w:t>mg/m</w:t>
      </w:r>
      <w:r>
        <w:rPr>
          <w:rFonts w:hint="eastAsia" w:ascii="仿宋" w:hAnsi="仿宋" w:eastAsia="仿宋" w:cs="仿宋"/>
          <w:b/>
          <w:bCs/>
          <w:color w:val="auto"/>
          <w:sz w:val="24"/>
          <w:vertAlign w:val="superscript"/>
        </w:rPr>
        <w:t>3</w:t>
      </w:r>
      <w:r>
        <w:rPr>
          <w:rFonts w:hint="eastAsia" w:ascii="仿宋" w:hAnsi="仿宋" w:eastAsia="仿宋" w:cs="仿宋"/>
          <w:b/>
          <w:bCs/>
          <w:color w:val="auto"/>
          <w:sz w:val="24"/>
          <w:lang w:eastAsia="zh-CN"/>
        </w:rPr>
        <w:t>、</w:t>
      </w:r>
      <w:r>
        <w:rPr>
          <w:rFonts w:hint="eastAsia" w:ascii="仿宋" w:hAnsi="仿宋" w:eastAsia="仿宋" w:cs="仿宋"/>
          <w:b/>
          <w:bCs/>
          <w:color w:val="auto"/>
          <w:sz w:val="24"/>
          <w:lang w:val="en-US" w:eastAsia="zh-CN"/>
        </w:rPr>
        <w:t>21</w:t>
      </w:r>
      <w:r>
        <w:rPr>
          <w:rFonts w:hint="eastAsia" w:ascii="仿宋" w:hAnsi="仿宋" w:eastAsia="仿宋" w:cs="仿宋"/>
          <w:b/>
          <w:bCs/>
          <w:color w:val="auto"/>
          <w:sz w:val="24"/>
        </w:rPr>
        <w:t>mg/m</w:t>
      </w:r>
      <w:r>
        <w:rPr>
          <w:rFonts w:hint="eastAsia" w:ascii="仿宋" w:hAnsi="仿宋" w:eastAsia="仿宋" w:cs="仿宋"/>
          <w:b/>
          <w:bCs/>
          <w:color w:val="auto"/>
          <w:sz w:val="24"/>
          <w:vertAlign w:val="superscript"/>
        </w:rPr>
        <w:t>3</w:t>
      </w:r>
      <w:r>
        <w:rPr>
          <w:rFonts w:hint="eastAsia" w:ascii="仿宋" w:hAnsi="仿宋" w:eastAsia="仿宋" w:cs="仿宋"/>
          <w:b/>
          <w:bCs/>
          <w:color w:val="auto"/>
          <w:sz w:val="24"/>
          <w:lang w:eastAsia="zh-CN"/>
        </w:rPr>
        <w:t>，排放速率最大值分别为</w:t>
      </w:r>
      <w:r>
        <w:rPr>
          <w:rFonts w:hint="eastAsia" w:ascii="仿宋" w:hAnsi="仿宋" w:eastAsia="仿宋" w:cs="仿宋"/>
          <w:b/>
          <w:bCs/>
          <w:color w:val="auto"/>
          <w:sz w:val="24"/>
          <w:lang w:val="en-US" w:eastAsia="zh-CN"/>
        </w:rPr>
        <w:t>0.028</w:t>
      </w:r>
      <w:r>
        <w:rPr>
          <w:rFonts w:hint="eastAsia" w:ascii="仿宋" w:hAnsi="仿宋" w:eastAsia="仿宋" w:cs="仿宋"/>
          <w:b/>
          <w:bCs/>
          <w:color w:val="auto"/>
          <w:sz w:val="24"/>
        </w:rPr>
        <w:t>kg/h</w:t>
      </w:r>
      <w:r>
        <w:rPr>
          <w:rFonts w:hint="eastAsia" w:ascii="仿宋" w:hAnsi="仿宋" w:eastAsia="仿宋" w:cs="仿宋"/>
          <w:b/>
          <w:bCs/>
          <w:color w:val="auto"/>
          <w:sz w:val="24"/>
          <w:lang w:eastAsia="zh-CN"/>
        </w:rPr>
        <w:t>、</w:t>
      </w:r>
      <w:r>
        <w:rPr>
          <w:rFonts w:hint="eastAsia" w:ascii="仿宋" w:hAnsi="仿宋" w:eastAsia="仿宋" w:cs="仿宋"/>
          <w:b/>
          <w:bCs/>
          <w:color w:val="auto"/>
          <w:sz w:val="24"/>
          <w:lang w:val="en-US" w:eastAsia="zh-CN"/>
        </w:rPr>
        <w:t>0.094</w:t>
      </w:r>
      <w:r>
        <w:rPr>
          <w:rFonts w:hint="eastAsia" w:ascii="仿宋" w:hAnsi="仿宋" w:eastAsia="仿宋" w:cs="仿宋"/>
          <w:b/>
          <w:bCs/>
          <w:color w:val="auto"/>
          <w:sz w:val="24"/>
        </w:rPr>
        <w:t>kg/h</w:t>
      </w:r>
      <w:r>
        <w:rPr>
          <w:rFonts w:hint="eastAsia" w:ascii="仿宋" w:hAnsi="仿宋" w:eastAsia="仿宋" w:cs="仿宋"/>
          <w:b/>
          <w:bCs/>
          <w:color w:val="auto"/>
          <w:sz w:val="24"/>
          <w:lang w:eastAsia="zh-CN"/>
        </w:rPr>
        <w:t>，二氧化硫未检出，符合</w:t>
      </w:r>
      <w:r>
        <w:rPr>
          <w:rFonts w:hint="eastAsia" w:ascii="仿宋" w:hAnsi="仿宋" w:eastAsia="仿宋" w:cs="仿宋"/>
          <w:b/>
          <w:bCs/>
          <w:color w:val="auto"/>
          <w:sz w:val="24"/>
          <w:lang w:val="en-US" w:eastAsia="zh-CN"/>
        </w:rPr>
        <w:t>《大气污染物综合排放标准》（GB 16297-1996）表2最高允许排放浓度和最高允许排放速率二级限值要求；</w:t>
      </w:r>
    </w:p>
    <w:p>
      <w:pPr>
        <w:widowControl/>
        <w:spacing w:line="440" w:lineRule="exact"/>
        <w:ind w:firstLine="482" w:firstLineChars="200"/>
        <w:jc w:val="left"/>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焊接废气排气筒中颗粒物排放浓度最大值为7.2</w:t>
      </w:r>
      <w:r>
        <w:rPr>
          <w:rFonts w:hint="eastAsia" w:ascii="仿宋" w:hAnsi="仿宋" w:eastAsia="仿宋" w:cs="仿宋"/>
          <w:b/>
          <w:bCs/>
          <w:color w:val="auto"/>
          <w:sz w:val="24"/>
        </w:rPr>
        <w:t>mg/m3</w:t>
      </w:r>
      <w:r>
        <w:rPr>
          <w:rFonts w:hint="eastAsia" w:ascii="仿宋" w:hAnsi="仿宋" w:eastAsia="仿宋" w:cs="仿宋"/>
          <w:b/>
          <w:bCs/>
          <w:color w:val="auto"/>
          <w:sz w:val="24"/>
          <w:lang w:eastAsia="zh-CN"/>
        </w:rPr>
        <w:t>，排放速率最大值为</w:t>
      </w:r>
      <w:r>
        <w:rPr>
          <w:rFonts w:hint="eastAsia" w:ascii="仿宋" w:hAnsi="仿宋" w:eastAsia="仿宋" w:cs="仿宋"/>
          <w:b/>
          <w:bCs/>
          <w:color w:val="auto"/>
          <w:sz w:val="24"/>
          <w:lang w:val="en-US" w:eastAsia="zh-CN"/>
        </w:rPr>
        <w:t>0.055</w:t>
      </w:r>
      <w:r>
        <w:rPr>
          <w:rFonts w:hint="eastAsia" w:ascii="仿宋" w:hAnsi="仿宋" w:eastAsia="仿宋" w:cs="仿宋"/>
          <w:b/>
          <w:bCs/>
          <w:color w:val="auto"/>
          <w:sz w:val="24"/>
        </w:rPr>
        <w:t>kg/h</w:t>
      </w:r>
      <w:r>
        <w:rPr>
          <w:rFonts w:hint="eastAsia" w:ascii="仿宋" w:hAnsi="仿宋" w:eastAsia="仿宋" w:cs="仿宋"/>
          <w:b/>
          <w:bCs/>
          <w:color w:val="auto"/>
          <w:sz w:val="24"/>
          <w:lang w:eastAsia="zh-CN"/>
        </w:rPr>
        <w:t>，符合</w:t>
      </w:r>
      <w:r>
        <w:rPr>
          <w:rFonts w:hint="eastAsia" w:ascii="仿宋" w:hAnsi="仿宋" w:eastAsia="仿宋" w:cs="仿宋"/>
          <w:b/>
          <w:bCs/>
          <w:color w:val="auto"/>
          <w:sz w:val="24"/>
          <w:lang w:val="en-US" w:eastAsia="zh-CN"/>
        </w:rPr>
        <w:t>《大气污染物综合排放标准》（GB 16297-1996）表2最高允许排放浓度和最高允许排放速率二级限值要求。</w:t>
      </w:r>
    </w:p>
    <w:p>
      <w:pPr>
        <w:widowControl/>
        <w:spacing w:line="440" w:lineRule="exact"/>
        <w:ind w:firstLine="482" w:firstLineChars="200"/>
        <w:jc w:val="left"/>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锅炉废气中颗粒物、氮氧化物排放浓度最大值分别为4.8mg/m</w:t>
      </w:r>
      <w:r>
        <w:rPr>
          <w:rFonts w:hint="eastAsia" w:ascii="仿宋" w:hAnsi="仿宋" w:eastAsia="仿宋" w:cs="仿宋"/>
          <w:b/>
          <w:bCs/>
          <w:color w:val="auto"/>
          <w:sz w:val="24"/>
          <w:vertAlign w:val="superscript"/>
          <w:lang w:val="en-US" w:eastAsia="zh-CN"/>
        </w:rPr>
        <w:t>3</w:t>
      </w:r>
      <w:r>
        <w:rPr>
          <w:rFonts w:hint="eastAsia" w:ascii="仿宋" w:hAnsi="仿宋" w:eastAsia="仿宋" w:cs="仿宋"/>
          <w:b/>
          <w:bCs/>
          <w:color w:val="auto"/>
          <w:sz w:val="24"/>
          <w:lang w:val="en-US" w:eastAsia="zh-CN"/>
        </w:rPr>
        <w:t>、56mg/m</w:t>
      </w:r>
      <w:r>
        <w:rPr>
          <w:rFonts w:hint="eastAsia" w:ascii="仿宋" w:hAnsi="仿宋" w:eastAsia="仿宋" w:cs="仿宋"/>
          <w:b/>
          <w:bCs/>
          <w:color w:val="auto"/>
          <w:sz w:val="24"/>
          <w:vertAlign w:val="superscript"/>
          <w:lang w:val="en-US" w:eastAsia="zh-CN"/>
        </w:rPr>
        <w:t>3</w:t>
      </w:r>
      <w:r>
        <w:rPr>
          <w:rFonts w:hint="eastAsia" w:ascii="仿宋" w:hAnsi="仿宋" w:eastAsia="仿宋" w:cs="仿宋"/>
          <w:b/>
          <w:bCs/>
          <w:color w:val="auto"/>
          <w:sz w:val="24"/>
          <w:lang w:val="en-US" w:eastAsia="zh-CN"/>
        </w:rPr>
        <w:t>，二氧化硫未检出，符合《锅炉大气污染物排放标准》（GB 13271-2014）表3中燃气锅炉标准限值要求。</w:t>
      </w:r>
    </w:p>
    <w:p>
      <w:pPr>
        <w:widowControl/>
        <w:spacing w:line="440" w:lineRule="exact"/>
        <w:ind w:firstLine="482" w:firstLineChars="200"/>
        <w:jc w:val="left"/>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无组织废气：本次监测，</w:t>
      </w:r>
      <w:r>
        <w:rPr>
          <w:rFonts w:hint="eastAsia" w:ascii="仿宋" w:hAnsi="仿宋" w:eastAsia="仿宋" w:cs="仿宋"/>
          <w:b/>
          <w:bCs/>
          <w:color w:val="auto"/>
          <w:sz w:val="24"/>
          <w:lang w:eastAsia="zh-CN"/>
        </w:rPr>
        <w:t>厂界</w:t>
      </w:r>
      <w:r>
        <w:rPr>
          <w:rFonts w:hint="eastAsia" w:ascii="仿宋" w:hAnsi="仿宋" w:eastAsia="仿宋" w:cs="仿宋"/>
          <w:b/>
          <w:bCs/>
          <w:color w:val="auto"/>
          <w:sz w:val="24"/>
        </w:rPr>
        <w:t>无组织废气中</w:t>
      </w:r>
      <w:r>
        <w:rPr>
          <w:rFonts w:hint="eastAsia" w:ascii="仿宋" w:hAnsi="仿宋" w:eastAsia="仿宋" w:cs="仿宋"/>
          <w:b/>
          <w:bCs/>
          <w:color w:val="auto"/>
          <w:sz w:val="24"/>
          <w:lang w:eastAsia="zh-CN"/>
        </w:rPr>
        <w:t>非甲烷总烃</w:t>
      </w:r>
      <w:r>
        <w:rPr>
          <w:rFonts w:hint="eastAsia" w:ascii="仿宋" w:hAnsi="仿宋" w:eastAsia="仿宋" w:cs="仿宋"/>
          <w:b/>
          <w:bCs/>
          <w:color w:val="auto"/>
          <w:sz w:val="24"/>
        </w:rPr>
        <w:t>最大值</w:t>
      </w:r>
      <w:r>
        <w:rPr>
          <w:rFonts w:hint="eastAsia" w:ascii="仿宋" w:hAnsi="仿宋" w:eastAsia="仿宋" w:cs="仿宋"/>
          <w:b/>
          <w:bCs/>
          <w:color w:val="auto"/>
          <w:sz w:val="24"/>
          <w:lang w:eastAsia="zh-CN"/>
        </w:rPr>
        <w:t>为</w:t>
      </w:r>
      <w:r>
        <w:rPr>
          <w:rFonts w:hint="eastAsia" w:ascii="仿宋" w:hAnsi="仿宋" w:eastAsia="仿宋" w:cs="仿宋"/>
          <w:b/>
          <w:bCs/>
          <w:color w:val="auto"/>
          <w:sz w:val="24"/>
          <w:lang w:val="en-US" w:eastAsia="zh-CN"/>
        </w:rPr>
        <w:t>1.73</w:t>
      </w:r>
      <w:r>
        <w:rPr>
          <w:rFonts w:hint="eastAsia" w:ascii="仿宋" w:hAnsi="仿宋" w:eastAsia="仿宋" w:cs="仿宋"/>
          <w:b/>
          <w:bCs/>
          <w:color w:val="auto"/>
          <w:sz w:val="24"/>
        </w:rPr>
        <w:t>mg/m</w:t>
      </w:r>
      <w:r>
        <w:rPr>
          <w:rFonts w:hint="eastAsia" w:ascii="仿宋" w:hAnsi="仿宋" w:eastAsia="仿宋" w:cs="仿宋"/>
          <w:b/>
          <w:bCs/>
          <w:color w:val="auto"/>
          <w:sz w:val="24"/>
          <w:vertAlign w:val="superscript"/>
        </w:rPr>
        <w:t>3</w:t>
      </w:r>
      <w:r>
        <w:rPr>
          <w:rFonts w:hint="eastAsia" w:ascii="仿宋" w:hAnsi="仿宋" w:eastAsia="仿宋" w:cs="仿宋"/>
          <w:b/>
          <w:bCs/>
          <w:color w:val="auto"/>
          <w:sz w:val="24"/>
        </w:rPr>
        <w:t>，符合</w:t>
      </w:r>
      <w:r>
        <w:rPr>
          <w:rFonts w:hint="eastAsia" w:ascii="仿宋" w:hAnsi="仿宋" w:eastAsia="仿宋" w:cs="仿宋"/>
          <w:b/>
          <w:bCs/>
          <w:color w:val="auto"/>
          <w:sz w:val="24"/>
          <w:lang w:val="en-US" w:eastAsia="zh-CN"/>
        </w:rPr>
        <w:t>《厦门市大气污染物排放标准》（DB35/323-2018）表3单位周界排放限值要求；</w:t>
      </w:r>
      <w:r>
        <w:rPr>
          <w:rFonts w:hint="eastAsia" w:ascii="仿宋" w:hAnsi="仿宋" w:eastAsia="仿宋" w:cs="仿宋"/>
          <w:b/>
          <w:bCs/>
          <w:color w:val="auto"/>
          <w:sz w:val="24"/>
          <w:lang w:eastAsia="zh-CN"/>
        </w:rPr>
        <w:t>厂界内生产车间电泳工序门窗外</w:t>
      </w:r>
      <w:r>
        <w:rPr>
          <w:rFonts w:hint="eastAsia" w:ascii="仿宋" w:hAnsi="仿宋" w:eastAsia="仿宋" w:cs="仿宋"/>
          <w:b/>
          <w:bCs/>
          <w:color w:val="auto"/>
          <w:sz w:val="24"/>
          <w:lang w:val="en-US" w:eastAsia="zh-CN"/>
        </w:rPr>
        <w:t>1m处</w:t>
      </w:r>
      <w:r>
        <w:rPr>
          <w:rFonts w:hint="eastAsia" w:ascii="仿宋" w:hAnsi="仿宋" w:eastAsia="仿宋" w:cs="仿宋"/>
          <w:b/>
          <w:bCs/>
          <w:color w:val="auto"/>
          <w:sz w:val="24"/>
        </w:rPr>
        <w:t>无组织废气中</w:t>
      </w:r>
      <w:r>
        <w:rPr>
          <w:rFonts w:hint="eastAsia" w:ascii="仿宋" w:hAnsi="仿宋" w:eastAsia="仿宋" w:cs="仿宋"/>
          <w:b/>
          <w:bCs/>
          <w:color w:val="auto"/>
          <w:sz w:val="24"/>
          <w:lang w:eastAsia="zh-CN"/>
        </w:rPr>
        <w:t>非甲烷总烃</w:t>
      </w:r>
      <w:r>
        <w:rPr>
          <w:rFonts w:hint="eastAsia" w:ascii="仿宋" w:hAnsi="仿宋" w:eastAsia="仿宋" w:cs="仿宋"/>
          <w:b/>
          <w:bCs/>
          <w:color w:val="auto"/>
          <w:sz w:val="24"/>
        </w:rPr>
        <w:t>最大值</w:t>
      </w:r>
      <w:r>
        <w:rPr>
          <w:rFonts w:hint="eastAsia" w:ascii="仿宋" w:hAnsi="仿宋" w:eastAsia="仿宋" w:cs="仿宋"/>
          <w:b/>
          <w:bCs/>
          <w:color w:val="auto"/>
          <w:sz w:val="24"/>
          <w:lang w:eastAsia="zh-CN"/>
        </w:rPr>
        <w:t>为</w:t>
      </w:r>
      <w:r>
        <w:rPr>
          <w:rFonts w:hint="eastAsia" w:ascii="仿宋" w:hAnsi="仿宋" w:eastAsia="仿宋" w:cs="仿宋"/>
          <w:b/>
          <w:bCs/>
          <w:color w:val="auto"/>
          <w:sz w:val="24"/>
          <w:lang w:val="en-US" w:eastAsia="zh-CN"/>
        </w:rPr>
        <w:t>1.91</w:t>
      </w:r>
      <w:r>
        <w:rPr>
          <w:rFonts w:hint="eastAsia" w:ascii="仿宋" w:hAnsi="仿宋" w:eastAsia="仿宋" w:cs="仿宋"/>
          <w:b/>
          <w:bCs/>
          <w:color w:val="auto"/>
          <w:sz w:val="24"/>
        </w:rPr>
        <w:t>mg/m</w:t>
      </w:r>
      <w:r>
        <w:rPr>
          <w:rFonts w:hint="eastAsia" w:ascii="仿宋" w:hAnsi="仿宋" w:eastAsia="仿宋" w:cs="仿宋"/>
          <w:b/>
          <w:bCs/>
          <w:color w:val="auto"/>
          <w:sz w:val="24"/>
          <w:vertAlign w:val="superscript"/>
        </w:rPr>
        <w:t>3</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《挥发性有机物无组织排放控制标准》（GB 37822—2019）表A.1特别排放限值中监控点处1h平均浓度值要求。</w:t>
      </w:r>
    </w:p>
    <w:p>
      <w:pPr>
        <w:widowControl/>
        <w:spacing w:line="360" w:lineRule="auto"/>
        <w:ind w:firstLine="482" w:firstLineChars="200"/>
        <w:jc w:val="left"/>
        <w:rPr>
          <w:rFonts w:ascii="仿宋" w:hAnsi="仿宋" w:eastAsia="仿宋" w:cs="宋体"/>
          <w:b/>
          <w:color w:val="auto"/>
          <w:kern w:val="0"/>
          <w:sz w:val="24"/>
        </w:rPr>
      </w:pPr>
      <w:r>
        <w:rPr>
          <w:rFonts w:hint="eastAsia" w:ascii="仿宋" w:hAnsi="仿宋" w:eastAsia="仿宋" w:cs="宋体"/>
          <w:b/>
          <w:color w:val="auto"/>
          <w:kern w:val="0"/>
          <w:sz w:val="24"/>
        </w:rPr>
        <w:t>3、噪声</w:t>
      </w:r>
    </w:p>
    <w:p>
      <w:pPr>
        <w:widowControl/>
        <w:spacing w:line="440" w:lineRule="exact"/>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rPr>
        <w:t>验收监测期间，项目厂界噪声昼间为</w:t>
      </w:r>
      <w:r>
        <w:rPr>
          <w:rFonts w:hint="eastAsia" w:ascii="仿宋" w:hAnsi="仿宋" w:eastAsia="仿宋" w:cs="仿宋"/>
          <w:b/>
          <w:bCs/>
          <w:color w:val="auto"/>
          <w:sz w:val="24"/>
          <w:lang w:val="en-US" w:eastAsia="zh-CN"/>
        </w:rPr>
        <w:t>52.0</w:t>
      </w:r>
      <w:r>
        <w:rPr>
          <w:rFonts w:hint="eastAsia" w:ascii="仿宋" w:hAnsi="仿宋" w:eastAsia="仿宋" w:cs="仿宋"/>
          <w:b/>
          <w:bCs/>
          <w:color w:val="auto"/>
          <w:sz w:val="24"/>
        </w:rPr>
        <w:t>dB(A)~58.</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dB(A)、夜间为</w:t>
      </w:r>
      <w:r>
        <w:rPr>
          <w:rFonts w:hint="eastAsia" w:ascii="仿宋" w:hAnsi="仿宋" w:eastAsia="仿宋" w:cs="仿宋"/>
          <w:b/>
          <w:bCs/>
          <w:color w:val="auto"/>
          <w:sz w:val="24"/>
          <w:lang w:val="en-US" w:eastAsia="zh-CN"/>
        </w:rPr>
        <w:t>43.7</w:t>
      </w:r>
      <w:r>
        <w:rPr>
          <w:rFonts w:hint="eastAsia" w:ascii="仿宋" w:hAnsi="仿宋" w:eastAsia="仿宋" w:cs="仿宋"/>
          <w:b/>
          <w:bCs/>
          <w:color w:val="auto"/>
          <w:sz w:val="24"/>
        </w:rPr>
        <w:t>dB(A)~</w:t>
      </w:r>
      <w:r>
        <w:rPr>
          <w:rFonts w:hint="eastAsia" w:ascii="仿宋" w:hAnsi="仿宋" w:eastAsia="仿宋" w:cs="仿宋"/>
          <w:b/>
          <w:bCs/>
          <w:color w:val="auto"/>
          <w:sz w:val="24"/>
          <w:lang w:val="en-US" w:eastAsia="zh-CN"/>
        </w:rPr>
        <w:t>48.7</w:t>
      </w:r>
      <w:r>
        <w:rPr>
          <w:rFonts w:hint="eastAsia" w:ascii="仿宋" w:hAnsi="仿宋" w:eastAsia="仿宋" w:cs="仿宋"/>
          <w:b/>
          <w:bCs/>
          <w:color w:val="auto"/>
          <w:sz w:val="24"/>
        </w:rPr>
        <w:t>dB(A)，监测结果均符合《工业企业厂界环境噪声排放标准》（GB 12348-2008)3类标准限值要求。</w:t>
      </w:r>
    </w:p>
    <w:p>
      <w:pPr>
        <w:widowControl/>
        <w:spacing w:line="440" w:lineRule="exact"/>
        <w:ind w:firstLine="482" w:firstLineChars="200"/>
        <w:jc w:val="left"/>
        <w:rPr>
          <w:rFonts w:ascii="仿宋" w:hAnsi="仿宋" w:eastAsia="仿宋" w:cs="宋体"/>
          <w:b/>
          <w:color w:val="auto"/>
          <w:kern w:val="0"/>
          <w:sz w:val="24"/>
        </w:rPr>
      </w:pPr>
      <w:r>
        <w:rPr>
          <w:rFonts w:hint="eastAsia" w:ascii="仿宋" w:hAnsi="仿宋" w:eastAsia="仿宋" w:cs="宋体"/>
          <w:b/>
          <w:color w:val="auto"/>
          <w:kern w:val="0"/>
          <w:sz w:val="24"/>
        </w:rPr>
        <w:t>4、总量控制</w:t>
      </w:r>
    </w:p>
    <w:p>
      <w:pPr>
        <w:pStyle w:val="64"/>
        <w:spacing w:beforeLines="50" w:line="360" w:lineRule="auto"/>
        <w:ind w:firstLine="482"/>
        <w:jc w:val="left"/>
        <w:rPr>
          <w:rFonts w:hint="default" w:ascii="仿宋" w:hAnsi="仿宋" w:eastAsia="仿宋" w:cs="仿宋"/>
          <w:b/>
          <w:bCs/>
          <w:color w:val="auto"/>
        </w:rPr>
      </w:pPr>
      <w:r>
        <w:rPr>
          <w:rFonts w:hint="default" w:ascii="仿宋" w:hAnsi="仿宋" w:eastAsia="仿宋" w:cs="仿宋"/>
          <w:b/>
          <w:bCs/>
          <w:color w:val="auto"/>
        </w:rPr>
        <w:t>本项目</w:t>
      </w:r>
      <w:r>
        <w:rPr>
          <w:rFonts w:ascii="仿宋" w:hAnsi="仿宋" w:eastAsia="仿宋" w:cs="仿宋"/>
          <w:b/>
          <w:bCs/>
          <w:color w:val="auto"/>
        </w:rPr>
        <w:t>总量</w:t>
      </w:r>
      <w:r>
        <w:rPr>
          <w:rFonts w:hint="eastAsia" w:ascii="仿宋" w:hAnsi="仿宋" w:eastAsia="仿宋" w:cs="仿宋"/>
          <w:b/>
          <w:bCs/>
          <w:color w:val="auto"/>
          <w:lang w:eastAsia="zh-CN"/>
        </w:rPr>
        <w:t>满足批复总量控制</w:t>
      </w:r>
      <w:r>
        <w:rPr>
          <w:rFonts w:ascii="仿宋" w:hAnsi="仿宋" w:eastAsia="仿宋" w:cs="仿宋"/>
          <w:b/>
          <w:bCs/>
          <w:color w:val="auto"/>
        </w:rPr>
        <w:t>要求。</w:t>
      </w:r>
    </w:p>
    <w:p>
      <w:pPr>
        <w:widowControl/>
        <w:spacing w:line="440" w:lineRule="exact"/>
        <w:ind w:firstLine="482" w:firstLineChars="200"/>
        <w:jc w:val="left"/>
        <w:rPr>
          <w:rFonts w:ascii="仿宋" w:hAnsi="仿宋" w:eastAsia="仿宋" w:cs="宋体"/>
          <w:b/>
          <w:color w:val="auto"/>
          <w:kern w:val="0"/>
          <w:sz w:val="24"/>
        </w:rPr>
      </w:pPr>
      <w:r>
        <w:rPr>
          <w:rFonts w:hint="eastAsia" w:ascii="仿宋" w:hAnsi="仿宋" w:eastAsia="仿宋"/>
          <w:b/>
          <w:color w:val="auto"/>
          <w:sz w:val="24"/>
        </w:rPr>
        <w:t>六</w:t>
      </w:r>
      <w:r>
        <w:rPr>
          <w:rFonts w:ascii="仿宋" w:hAnsi="仿宋" w:eastAsia="仿宋"/>
          <w:b/>
          <w:color w:val="auto"/>
          <w:sz w:val="24"/>
        </w:rPr>
        <w:t>、后续要求与建议</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color w:val="auto"/>
          <w:kern w:val="2"/>
          <w:sz w:val="24"/>
          <w:szCs w:val="24"/>
          <w:lang w:val="en-US" w:eastAsia="zh-CN" w:bidi="ar-SA"/>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lang w:val="en-US" w:eastAsia="zh-CN"/>
        </w:rPr>
        <w:t>对照各期环评报告及审批文件要求，说明各</w:t>
      </w:r>
      <w:r>
        <w:rPr>
          <w:rFonts w:hint="eastAsia" w:ascii="仿宋" w:hAnsi="仿宋" w:eastAsia="仿宋" w:cs="仿宋"/>
          <w:b/>
          <w:bCs/>
          <w:color w:val="auto"/>
          <w:sz w:val="24"/>
          <w:szCs w:val="24"/>
          <w:lang w:val="en-US" w:eastAsia="zh-CN"/>
        </w:rPr>
        <w:tab/>
      </w:r>
      <w:r>
        <w:rPr>
          <w:rFonts w:hint="eastAsia" w:ascii="仿宋" w:hAnsi="仿宋" w:eastAsia="仿宋" w:cs="仿宋"/>
          <w:b/>
          <w:bCs/>
          <w:color w:val="auto"/>
          <w:sz w:val="24"/>
          <w:szCs w:val="24"/>
          <w:lang w:val="en-US" w:eastAsia="zh-CN"/>
        </w:rPr>
        <w:t>期项目的建设内容，明确本次验收范围和验收内容，相关说明材料应作为报告附件。核实</w:t>
      </w:r>
      <w:r>
        <w:rPr>
          <w:rFonts w:hint="eastAsia" w:ascii="仿宋" w:hAnsi="仿宋" w:eastAsia="仿宋" w:cs="仿宋"/>
          <w:b/>
          <w:bCs/>
          <w:color w:val="auto"/>
          <w:kern w:val="2"/>
          <w:sz w:val="24"/>
          <w:szCs w:val="24"/>
          <w:lang w:val="en-US" w:eastAsia="zh-CN" w:bidi="ar-SA"/>
        </w:rPr>
        <w:t>项目变动情况，建设单位应对项目变动的内容、原因等情况进行说明（作为报告</w:t>
      </w:r>
      <w:r>
        <w:rPr>
          <w:rFonts w:hint="eastAsia" w:ascii="仿宋" w:hAnsi="仿宋" w:eastAsia="仿宋" w:cs="仿宋"/>
          <w:b/>
          <w:color w:val="auto"/>
          <w:kern w:val="2"/>
          <w:sz w:val="24"/>
          <w:szCs w:val="24"/>
          <w:lang w:val="en-US" w:eastAsia="zh-CN" w:bidi="ar-SA"/>
        </w:rPr>
        <w:t>附件），验收监测报告应对变动内容进行环境合理性分析，对照相关文件和清单明确变更属性。</w:t>
      </w:r>
    </w:p>
    <w:p>
      <w:pPr>
        <w:pStyle w:val="65"/>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482" w:firstLineChars="200"/>
        <w:textAlignment w:val="auto"/>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2、完善焊接烟气净化设施（风机等）的噪声防治措施，确保满足噪声排放标准。</w:t>
      </w:r>
    </w:p>
    <w:p>
      <w:pPr>
        <w:pStyle w:val="65"/>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482" w:firstLineChars="200"/>
        <w:textAlignment w:val="auto"/>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3、充实磷化废水处理后全部回用的证明（说明）材料。</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2" w:firstLineChars="200"/>
        <w:textAlignment w:val="auto"/>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4、按照《危险废物贮存污染控制标准》要求，完善危险废物暂存间分质、分类存放和管理要求，完善污泥渗滤液收集、处置措施；严格危险废物环境管理制度（包括管理台账/记录等）。</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5、核实应急事故池设置情况并分析其可操作性，建议编制</w:t>
      </w:r>
      <w:r>
        <w:rPr>
          <w:rFonts w:hint="eastAsia" w:ascii="仿宋" w:hAnsi="仿宋" w:eastAsia="仿宋" w:cs="仿宋"/>
          <w:b/>
          <w:color w:val="auto"/>
          <w:kern w:val="2"/>
          <w:sz w:val="24"/>
          <w:szCs w:val="24"/>
          <w:lang w:val="en-US" w:eastAsia="zh-CN" w:bidi="ar-SA"/>
        </w:rPr>
        <w:t>突发环境事件应急预案。</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lang w:val="en-US" w:eastAsia="zh-CN"/>
        </w:rPr>
      </w:pPr>
      <w:r>
        <w:rPr>
          <w:rFonts w:hint="eastAsia" w:ascii="仿宋" w:hAnsi="仿宋" w:eastAsia="仿宋" w:cs="仿宋"/>
          <w:b/>
          <w:bCs/>
          <w:color w:val="auto"/>
          <w:sz w:val="24"/>
          <w:szCs w:val="24"/>
          <w:lang w:val="en-US" w:eastAsia="zh-CN"/>
        </w:rPr>
        <w:t>6、</w:t>
      </w:r>
      <w:r>
        <w:rPr>
          <w:rFonts w:hint="eastAsia" w:ascii="仿宋" w:hAnsi="仿宋" w:eastAsia="仿宋" w:cs="仿宋"/>
          <w:b/>
          <w:bCs/>
          <w:color w:val="auto"/>
          <w:sz w:val="24"/>
          <w:szCs w:val="24"/>
        </w:rPr>
        <w:t>完善项目各类环保设施、设备的标识、标牌的设置</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健全环保设施运行、维护管理制度和记录并在关键岗位（上墙）公示。</w:t>
      </w:r>
    </w:p>
    <w:p>
      <w:pPr>
        <w:widowControl/>
        <w:spacing w:line="440" w:lineRule="exact"/>
        <w:ind w:firstLine="482" w:firstLineChars="200"/>
        <w:jc w:val="left"/>
        <w:rPr>
          <w:rFonts w:ascii="仿宋" w:hAnsi="仿宋" w:eastAsia="仿宋" w:cs="宋体"/>
          <w:b/>
          <w:color w:val="auto"/>
          <w:kern w:val="0"/>
          <w:sz w:val="24"/>
        </w:rPr>
      </w:pPr>
      <w:r>
        <w:rPr>
          <w:rFonts w:hint="eastAsia" w:ascii="仿宋" w:hAnsi="仿宋" w:eastAsia="仿宋" w:cs="宋体"/>
          <w:b/>
          <w:color w:val="auto"/>
          <w:kern w:val="0"/>
          <w:sz w:val="24"/>
        </w:rPr>
        <w:t>七、验收结论</w:t>
      </w:r>
    </w:p>
    <w:p>
      <w:pPr>
        <w:widowControl/>
        <w:spacing w:line="440" w:lineRule="exact"/>
        <w:ind w:firstLine="482" w:firstLineChars="200"/>
        <w:jc w:val="left"/>
        <w:rPr>
          <w:rFonts w:ascii="仿宋" w:hAnsi="仿宋" w:eastAsia="仿宋" w:cs="仿宋"/>
          <w:b/>
          <w:bCs/>
          <w:color w:val="auto"/>
          <w:kern w:val="0"/>
          <w:sz w:val="24"/>
        </w:rPr>
      </w:pPr>
      <w:r>
        <w:rPr>
          <w:rFonts w:hint="eastAsia" w:ascii="仿宋" w:hAnsi="仿宋" w:eastAsia="仿宋"/>
          <w:b/>
          <w:color w:val="auto"/>
          <w:sz w:val="24"/>
          <w:lang w:eastAsia="zh-CN"/>
        </w:rPr>
        <w:t>武汉长华长源汽车零部件有限公司汽车冲焊件（武汉）生产基地建设项目（武汉长华长源二工厂电泳涂装线技术改造建设项目）</w:t>
      </w:r>
      <w:r>
        <w:rPr>
          <w:rFonts w:hint="eastAsia" w:ascii="仿宋" w:hAnsi="仿宋" w:eastAsia="仿宋" w:cs="仿宋"/>
          <w:b/>
          <w:color w:val="auto"/>
          <w:kern w:val="0"/>
          <w:sz w:val="24"/>
        </w:rPr>
        <w:t>在</w:t>
      </w:r>
      <w:r>
        <w:rPr>
          <w:rFonts w:hint="eastAsia" w:ascii="仿宋" w:hAnsi="仿宋" w:eastAsia="仿宋" w:cs="仿宋"/>
          <w:b/>
          <w:bCs/>
          <w:color w:val="auto"/>
          <w:kern w:val="0"/>
          <w:sz w:val="24"/>
        </w:rPr>
        <w:t>实施过程中，按照国家建设项目环境保护“三同时”制度，落实了环评报告表及其审批文件中提出的污染防治措施，建设地点、建设性质、建设规模、工艺流程和环保设施等无重大变更。从验收监测单位提供的监测结果来看，项目产生的各类污染物排放满足相关标准要求。验收组结合现场实际情况认为，</w:t>
      </w:r>
      <w:r>
        <w:rPr>
          <w:rFonts w:hint="eastAsia" w:ascii="仿宋" w:hAnsi="仿宋" w:eastAsia="仿宋" w:cs="仿宋"/>
          <w:b/>
          <w:bCs/>
          <w:color w:val="auto"/>
          <w:kern w:val="0"/>
          <w:sz w:val="24"/>
          <w:lang w:val="en-US" w:eastAsia="zh-CN"/>
        </w:rPr>
        <w:t>在对上述要求进行认真整改后，</w:t>
      </w:r>
      <w:r>
        <w:rPr>
          <w:rFonts w:hint="eastAsia" w:ascii="仿宋" w:hAnsi="仿宋" w:eastAsia="仿宋" w:cs="仿宋"/>
          <w:b/>
          <w:bCs/>
          <w:color w:val="auto"/>
          <w:kern w:val="0"/>
          <w:sz w:val="24"/>
        </w:rPr>
        <w:t>本项目总体符合建设项目竣工环保验收条件。</w:t>
      </w:r>
    </w:p>
    <w:p>
      <w:pPr>
        <w:widowControl/>
        <w:spacing w:line="440" w:lineRule="exact"/>
        <w:ind w:firstLine="482" w:firstLineChars="200"/>
        <w:jc w:val="left"/>
        <w:rPr>
          <w:rFonts w:ascii="仿宋" w:hAnsi="仿宋" w:eastAsia="仿宋" w:cs="宋体"/>
          <w:b/>
          <w:color w:val="auto"/>
          <w:kern w:val="0"/>
          <w:sz w:val="24"/>
        </w:rPr>
      </w:pPr>
      <w:r>
        <w:rPr>
          <w:rFonts w:hint="eastAsia" w:ascii="仿宋" w:hAnsi="仿宋" w:eastAsia="仿宋" w:cs="宋体"/>
          <w:b/>
          <w:color w:val="auto"/>
          <w:kern w:val="0"/>
          <w:sz w:val="24"/>
        </w:rPr>
        <w:t>八、验收人员信息</w:t>
      </w:r>
    </w:p>
    <w:p>
      <w:pPr>
        <w:widowControl/>
        <w:spacing w:line="440" w:lineRule="exact"/>
        <w:ind w:firstLine="482" w:firstLineChars="200"/>
        <w:jc w:val="left"/>
        <w:rPr>
          <w:rFonts w:hint="eastAsia" w:ascii="仿宋" w:hAnsi="仿宋" w:eastAsia="仿宋" w:cs="仿宋"/>
          <w:b/>
          <w:color w:val="auto"/>
          <w:lang w:val="en-US" w:eastAsia="zh-CN"/>
        </w:rPr>
      </w:pPr>
      <w:r>
        <w:rPr>
          <w:rFonts w:hint="eastAsia" w:ascii="仿宋" w:hAnsi="仿宋" w:eastAsia="仿宋" w:cs="宋体"/>
          <w:b/>
          <w:color w:val="auto"/>
          <w:kern w:val="0"/>
          <w:sz w:val="24"/>
        </w:rPr>
        <w:t>验收工作组成员名单及信息附后。</w:t>
      </w:r>
      <w:r>
        <w:rPr>
          <w:rFonts w:hint="eastAsia" w:ascii="仿宋" w:hAnsi="仿宋" w:eastAsia="仿宋" w:cs="宋体"/>
          <w:b/>
          <w:color w:val="auto"/>
          <w:kern w:val="0"/>
          <w:sz w:val="24"/>
          <w:lang w:val="en-US" w:eastAsia="zh-CN"/>
        </w:rPr>
        <w:t xml:space="preserve"> </w:t>
      </w:r>
    </w:p>
    <w:p>
      <w:pPr>
        <w:pStyle w:val="20"/>
        <w:rPr>
          <w:color w:val="auto"/>
        </w:rPr>
      </w:pPr>
    </w:p>
    <w:p>
      <w:pPr>
        <w:spacing w:line="360" w:lineRule="auto"/>
        <w:jc w:val="right"/>
        <w:rPr>
          <w:rFonts w:ascii="仿宋" w:hAnsi="仿宋" w:eastAsia="仿宋"/>
          <w:b/>
          <w:color w:val="auto"/>
          <w:sz w:val="24"/>
        </w:rPr>
      </w:pPr>
      <w:r>
        <w:rPr>
          <w:rFonts w:hint="eastAsia" w:ascii="仿宋" w:hAnsi="仿宋" w:eastAsia="仿宋"/>
          <w:b/>
          <w:color w:val="auto"/>
          <w:sz w:val="24"/>
          <w:lang w:eastAsia="zh-CN"/>
        </w:rPr>
        <w:t>武汉长华长源汽车零部件有限公司汽车冲焊件（武汉）生产基地建设项目（武汉长华长源二工厂电泳涂装线技术改造建设项目）</w:t>
      </w:r>
      <w:r>
        <w:rPr>
          <w:rFonts w:hint="eastAsia" w:ascii="仿宋" w:hAnsi="仿宋" w:eastAsia="仿宋"/>
          <w:b/>
          <w:color w:val="auto"/>
          <w:sz w:val="24"/>
        </w:rPr>
        <w:t>环保</w:t>
      </w:r>
      <w:r>
        <w:rPr>
          <w:rFonts w:ascii="仿宋" w:hAnsi="仿宋" w:eastAsia="仿宋"/>
          <w:b/>
          <w:color w:val="auto"/>
          <w:sz w:val="24"/>
        </w:rPr>
        <w:t>验收组</w:t>
      </w:r>
    </w:p>
    <w:p>
      <w:pPr>
        <w:pStyle w:val="30"/>
        <w:spacing w:line="360" w:lineRule="auto"/>
        <w:jc w:val="right"/>
        <w:rPr>
          <w:rFonts w:hint="eastAsia" w:ascii="仿宋" w:hAnsi="仿宋" w:eastAsia="仿宋" w:cs="仿宋"/>
          <w:b/>
          <w:color w:val="auto"/>
        </w:rPr>
      </w:pPr>
      <w:r>
        <w:rPr>
          <w:rFonts w:ascii="仿宋" w:hAnsi="仿宋" w:eastAsia="仿宋" w:cs="仿宋"/>
          <w:b/>
          <w:color w:val="auto"/>
        </w:rPr>
        <w:t>202</w:t>
      </w:r>
      <w:r>
        <w:rPr>
          <w:rFonts w:hint="eastAsia" w:ascii="仿宋" w:hAnsi="仿宋" w:eastAsia="仿宋" w:cs="仿宋"/>
          <w:b/>
          <w:color w:val="auto"/>
        </w:rPr>
        <w:t>1</w:t>
      </w:r>
      <w:r>
        <w:rPr>
          <w:rFonts w:ascii="仿宋" w:hAnsi="仿宋" w:eastAsia="仿宋" w:cs="仿宋"/>
          <w:b/>
          <w:color w:val="auto"/>
        </w:rPr>
        <w:t>年</w:t>
      </w:r>
      <w:r>
        <w:rPr>
          <w:rFonts w:hint="eastAsia" w:ascii="仿宋" w:hAnsi="仿宋" w:eastAsia="仿宋" w:cs="仿宋"/>
          <w:b/>
          <w:color w:val="auto"/>
        </w:rPr>
        <w:t>1</w:t>
      </w:r>
      <w:r>
        <w:rPr>
          <w:rFonts w:hint="eastAsia" w:ascii="仿宋" w:hAnsi="仿宋" w:eastAsia="仿宋" w:cs="仿宋"/>
          <w:b/>
          <w:color w:val="auto"/>
          <w:lang w:val="en-US" w:eastAsia="zh-CN"/>
        </w:rPr>
        <w:t>2</w:t>
      </w:r>
      <w:r>
        <w:rPr>
          <w:rFonts w:ascii="仿宋" w:hAnsi="仿宋" w:eastAsia="仿宋" w:cs="仿宋"/>
          <w:b/>
          <w:color w:val="auto"/>
        </w:rPr>
        <w:t>月</w:t>
      </w:r>
      <w:r>
        <w:rPr>
          <w:rFonts w:hint="eastAsia" w:ascii="仿宋" w:hAnsi="仿宋" w:eastAsia="仿宋" w:cs="仿宋"/>
          <w:b/>
          <w:color w:val="auto"/>
          <w:lang w:val="en-US" w:eastAsia="zh-CN"/>
        </w:rPr>
        <w:t>27</w:t>
      </w:r>
      <w:r>
        <w:rPr>
          <w:rFonts w:hint="eastAsia" w:ascii="仿宋" w:hAnsi="仿宋" w:eastAsia="仿宋" w:cs="仿宋"/>
          <w:b/>
          <w:color w:val="auto"/>
        </w:rPr>
        <w:t>日</w:t>
      </w:r>
    </w:p>
    <w:p>
      <w:pPr>
        <w:pStyle w:val="20"/>
        <w:rPr>
          <w:rFonts w:hint="eastAsia" w:ascii="仿宋" w:hAnsi="仿宋" w:eastAsia="仿宋" w:cs="仿宋"/>
          <w:b/>
          <w:color w:val="auto"/>
        </w:rPr>
      </w:pPr>
    </w:p>
    <w:p>
      <w:pPr>
        <w:pStyle w:val="20"/>
        <w:rPr>
          <w:rFonts w:hint="eastAsia" w:ascii="仿宋" w:hAnsi="仿宋" w:eastAsia="仿宋" w:cs="仿宋"/>
          <w:b/>
          <w:color w:val="auto"/>
        </w:rPr>
      </w:pPr>
    </w:p>
    <w:p>
      <w:pPr>
        <w:pStyle w:val="20"/>
        <w:rPr>
          <w:rFonts w:hint="eastAsia" w:ascii="仿宋" w:hAnsi="仿宋" w:eastAsia="仿宋" w:cs="仿宋"/>
          <w:b/>
          <w:color w:val="auto"/>
          <w:lang w:eastAsia="zh-CN"/>
        </w:rPr>
      </w:pPr>
      <w:r>
        <w:rPr>
          <w:rFonts w:hint="eastAsia" w:ascii="仿宋" w:hAnsi="仿宋" w:eastAsia="仿宋" w:cs="仿宋"/>
          <w:b/>
          <w:color w:val="auto"/>
          <w:lang w:eastAsia="zh-CN"/>
        </w:rPr>
        <w:drawing>
          <wp:inline distT="0" distB="0" distL="114300" distR="114300">
            <wp:extent cx="6186170" cy="8751570"/>
            <wp:effectExtent l="0" t="0" r="5080" b="11430"/>
            <wp:docPr id="3" name="图片 3" descr="2022010509435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20105094350-0007"/>
                    <pic:cNvPicPr>
                      <a:picLocks noChangeAspect="1"/>
                    </pic:cNvPicPr>
                  </pic:nvPicPr>
                  <pic:blipFill>
                    <a:blip r:embed="rId5"/>
                    <a:stretch>
                      <a:fillRect/>
                    </a:stretch>
                  </pic:blipFill>
                  <pic:spPr>
                    <a:xfrm>
                      <a:off x="0" y="0"/>
                      <a:ext cx="6186170" cy="8751570"/>
                    </a:xfrm>
                    <a:prstGeom prst="rect">
                      <a:avLst/>
                    </a:prstGeom>
                  </pic:spPr>
                </pic:pic>
              </a:graphicData>
            </a:graphic>
          </wp:inline>
        </w:drawing>
      </w:r>
      <w:bookmarkStart w:id="0" w:name="_GoBack"/>
      <w:bookmarkEnd w:id="0"/>
    </w:p>
    <w:sectPr>
      <w:footerReference r:id="rId3" w:type="default"/>
      <w:pgSz w:w="11906" w:h="16838"/>
      <w:pgMar w:top="1440" w:right="1080" w:bottom="1440" w:left="108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PAGE  \* MERGEFORMAT </w:instrText>
                          </w:r>
                          <w:r>
                            <w:rPr>
                              <w:rFonts w:ascii="Times New Roman" w:hAnsi="Times New Roman"/>
                              <w:sz w:val="18"/>
                            </w:rPr>
                            <w:fldChar w:fldCharType="separate"/>
                          </w:r>
                          <w:r>
                            <w:rPr>
                              <w:rFonts w:ascii="Times New Roman" w:hAnsi="Times New Roman"/>
                              <w:sz w:val="18"/>
                            </w:rPr>
                            <w:t>1</w:t>
                          </w:r>
                          <w:r>
                            <w:rPr>
                              <w:rFonts w:ascii="Times New Roman" w:hAnsi="Times New Roman"/>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rFonts w:ascii="Times New Roman" w:hAnsi="Times New Roman"/>
                        <w:sz w:val="18"/>
                      </w:rPr>
                    </w:pPr>
                    <w:r>
                      <w:rPr>
                        <w:rFonts w:ascii="Times New Roman" w:hAnsi="Times New Roman"/>
                        <w:sz w:val="18"/>
                      </w:rPr>
                      <w:fldChar w:fldCharType="begin"/>
                    </w:r>
                    <w:r>
                      <w:rPr>
                        <w:rFonts w:ascii="Times New Roman" w:hAnsi="Times New Roman"/>
                        <w:sz w:val="18"/>
                      </w:rPr>
                      <w:instrText xml:space="preserve"> PAGE  \* MERGEFORMAT </w:instrText>
                    </w:r>
                    <w:r>
                      <w:rPr>
                        <w:rFonts w:ascii="Times New Roman" w:hAnsi="Times New Roman"/>
                        <w:sz w:val="18"/>
                      </w:rPr>
                      <w:fldChar w:fldCharType="separate"/>
                    </w:r>
                    <w:r>
                      <w:rPr>
                        <w:rFonts w:ascii="Times New Roman" w:hAnsi="Times New Roman"/>
                        <w:sz w:val="18"/>
                      </w:rPr>
                      <w:t>1</w:t>
                    </w:r>
                    <w:r>
                      <w:rPr>
                        <w:rFonts w:ascii="Times New Roman" w:hAnsi="Times New Roman"/>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A94E28"/>
    <w:multiLevelType w:val="singleLevel"/>
    <w:tmpl w:val="EDA94E28"/>
    <w:lvl w:ilvl="0" w:tentative="0">
      <w:start w:val="3"/>
      <w:numFmt w:val="decimal"/>
      <w:suff w:val="nothing"/>
      <w:lvlText w:val="%1、"/>
      <w:lvlJc w:val="left"/>
    </w:lvl>
  </w:abstractNum>
  <w:abstractNum w:abstractNumId="1">
    <w:nsid w:val="120000D1"/>
    <w:multiLevelType w:val="singleLevel"/>
    <w:tmpl w:val="120000D1"/>
    <w:lvl w:ilvl="0" w:tentative="0">
      <w:start w:val="1"/>
      <w:numFmt w:val="decimal"/>
      <w:suff w:val="nothing"/>
      <w:lvlText w:val="（%1）"/>
      <w:lvlJc w:val="left"/>
    </w:lvl>
  </w:abstractNum>
  <w:abstractNum w:abstractNumId="2">
    <w:nsid w:val="39CD7937"/>
    <w:multiLevelType w:val="singleLevel"/>
    <w:tmpl w:val="39CD7937"/>
    <w:lvl w:ilvl="0" w:tentative="0">
      <w:start w:val="1"/>
      <w:numFmt w:val="bullet"/>
      <w:pStyle w:val="16"/>
      <w:lvlText w:val=""/>
      <w:lvlJc w:val="left"/>
      <w:pPr>
        <w:tabs>
          <w:tab w:val="left" w:pos="2040"/>
        </w:tabs>
        <w:ind w:left="2040" w:hanging="360"/>
      </w:pPr>
      <w:rPr>
        <w:rFonts w:hint="default" w:ascii="Wingdings" w:hAnsi="Wingdings"/>
      </w:rPr>
    </w:lvl>
  </w:abstractNum>
  <w:abstractNum w:abstractNumId="3">
    <w:nsid w:val="536489A0"/>
    <w:multiLevelType w:val="singleLevel"/>
    <w:tmpl w:val="536489A0"/>
    <w:lvl w:ilvl="0" w:tentative="0">
      <w:start w:val="2"/>
      <w:numFmt w:val="decimal"/>
      <w:suff w:val="nothing"/>
      <w:lvlText w:val="%1、"/>
      <w:lvlJc w:val="left"/>
    </w:lvl>
  </w:abstractNum>
  <w:abstractNum w:abstractNumId="4">
    <w:nsid w:val="544D6817"/>
    <w:multiLevelType w:val="multilevel"/>
    <w:tmpl w:val="544D6817"/>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2"/>
      <w:lvlJc w:val="left"/>
      <w:pPr>
        <w:tabs>
          <w:tab w:val="left" w:pos="567"/>
        </w:tabs>
        <w:ind w:left="567" w:hanging="567"/>
      </w:pPr>
      <w:rPr>
        <w:rFonts w:hint="eastAsia"/>
      </w:rPr>
    </w:lvl>
    <w:lvl w:ilvl="2" w:tentative="0">
      <w:start w:val="1"/>
      <w:numFmt w:val="decimal"/>
      <w:pStyle w:val="6"/>
      <w:lvlText w:val="%2.%3"/>
      <w:lvlJc w:val="left"/>
      <w:pPr>
        <w:tabs>
          <w:tab w:val="left" w:pos="720"/>
        </w:tabs>
        <w:ind w:left="720" w:hanging="720"/>
      </w:pPr>
      <w:rPr>
        <w:rFonts w:hint="default" w:ascii="Times New Roman" w:hAnsi="Times New Roman" w:cs="Times New Roman"/>
      </w:rPr>
    </w:lvl>
    <w:lvl w:ilvl="3" w:tentative="0">
      <w:start w:val="1"/>
      <w:numFmt w:val="decimal"/>
      <w:pStyle w:val="7"/>
      <w:lvlText w:val="%2.%3.%4"/>
      <w:lvlJc w:val="left"/>
      <w:pPr>
        <w:tabs>
          <w:tab w:val="left" w:pos="1287"/>
        </w:tabs>
        <w:ind w:left="1287" w:hanging="720"/>
      </w:pPr>
      <w:rPr>
        <w:rFonts w:hint="eastAsia"/>
      </w:rPr>
    </w:lvl>
    <w:lvl w:ilvl="4" w:tentative="0">
      <w:start w:val="1"/>
      <w:numFmt w:val="decimal"/>
      <w:pStyle w:val="8"/>
      <w:lvlText w:val="%2.%3.%4.%5"/>
      <w:lvlJc w:val="left"/>
      <w:pPr>
        <w:tabs>
          <w:tab w:val="left" w:pos="720"/>
        </w:tabs>
        <w:ind w:left="0" w:firstLine="0"/>
      </w:pPr>
      <w:rPr>
        <w:rFonts w:hint="default" w:ascii="Times New Roman" w:hAnsi="Times New Roman" w:eastAsia="宋体"/>
        <w:b/>
        <w:i w:val="0"/>
        <w:sz w:val="24"/>
      </w:rPr>
    </w:lvl>
    <w:lvl w:ilvl="5" w:tentative="0">
      <w:start w:val="1"/>
      <w:numFmt w:val="decimal"/>
      <w:pStyle w:val="9"/>
      <w:lvlText w:val="%1.%2.%3.%4.%5.%6"/>
      <w:lvlJc w:val="left"/>
      <w:pPr>
        <w:tabs>
          <w:tab w:val="left" w:pos="1152"/>
        </w:tabs>
        <w:ind w:left="1152" w:hanging="1152"/>
      </w:pPr>
      <w:rPr>
        <w:rFonts w:hint="eastAsia"/>
      </w:rPr>
    </w:lvl>
    <w:lvl w:ilvl="6" w:tentative="0">
      <w:start w:val="1"/>
      <w:numFmt w:val="decimal"/>
      <w:pStyle w:val="10"/>
      <w:lvlText w:val="%1.%2.%3.%4.%5.%6.%7"/>
      <w:lvlJc w:val="left"/>
      <w:pPr>
        <w:tabs>
          <w:tab w:val="left" w:pos="1296"/>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319"/>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30A"/>
    <w:rsid w:val="000059D0"/>
    <w:rsid w:val="00021573"/>
    <w:rsid w:val="00032C8A"/>
    <w:rsid w:val="0003529E"/>
    <w:rsid w:val="00045A38"/>
    <w:rsid w:val="0005516D"/>
    <w:rsid w:val="0006155B"/>
    <w:rsid w:val="000D0C1D"/>
    <w:rsid w:val="000F09F3"/>
    <w:rsid w:val="000F400A"/>
    <w:rsid w:val="000F512B"/>
    <w:rsid w:val="00122CEA"/>
    <w:rsid w:val="00147A03"/>
    <w:rsid w:val="00172C03"/>
    <w:rsid w:val="0018734C"/>
    <w:rsid w:val="001941C5"/>
    <w:rsid w:val="00210571"/>
    <w:rsid w:val="0021089C"/>
    <w:rsid w:val="002C2515"/>
    <w:rsid w:val="002C4FAC"/>
    <w:rsid w:val="002C6785"/>
    <w:rsid w:val="002E6618"/>
    <w:rsid w:val="00306426"/>
    <w:rsid w:val="00315535"/>
    <w:rsid w:val="00326E2A"/>
    <w:rsid w:val="00335D08"/>
    <w:rsid w:val="00341D92"/>
    <w:rsid w:val="00363438"/>
    <w:rsid w:val="003742E3"/>
    <w:rsid w:val="003C654F"/>
    <w:rsid w:val="0041540F"/>
    <w:rsid w:val="0042276D"/>
    <w:rsid w:val="00446748"/>
    <w:rsid w:val="004B3C9D"/>
    <w:rsid w:val="005029E5"/>
    <w:rsid w:val="00555A0F"/>
    <w:rsid w:val="005731B7"/>
    <w:rsid w:val="00575770"/>
    <w:rsid w:val="005919F4"/>
    <w:rsid w:val="005A70D6"/>
    <w:rsid w:val="005B2016"/>
    <w:rsid w:val="005D495C"/>
    <w:rsid w:val="005F61AB"/>
    <w:rsid w:val="00622D55"/>
    <w:rsid w:val="00624282"/>
    <w:rsid w:val="00677376"/>
    <w:rsid w:val="006971BC"/>
    <w:rsid w:val="006C2E3D"/>
    <w:rsid w:val="006C6C99"/>
    <w:rsid w:val="006C714F"/>
    <w:rsid w:val="006D0C3E"/>
    <w:rsid w:val="006D3A6F"/>
    <w:rsid w:val="00744AD0"/>
    <w:rsid w:val="00751DB8"/>
    <w:rsid w:val="008106BF"/>
    <w:rsid w:val="0082369F"/>
    <w:rsid w:val="00880E60"/>
    <w:rsid w:val="008A577B"/>
    <w:rsid w:val="00904B57"/>
    <w:rsid w:val="009122BF"/>
    <w:rsid w:val="0093434D"/>
    <w:rsid w:val="00A1145D"/>
    <w:rsid w:val="00A17AC5"/>
    <w:rsid w:val="00A6250E"/>
    <w:rsid w:val="00B422AD"/>
    <w:rsid w:val="00B44CC3"/>
    <w:rsid w:val="00B62C45"/>
    <w:rsid w:val="00B7630D"/>
    <w:rsid w:val="00B94A91"/>
    <w:rsid w:val="00BA1BA3"/>
    <w:rsid w:val="00BC0C3C"/>
    <w:rsid w:val="00BF47CD"/>
    <w:rsid w:val="00C03A4C"/>
    <w:rsid w:val="00C2442F"/>
    <w:rsid w:val="00C627B3"/>
    <w:rsid w:val="00CA7BE2"/>
    <w:rsid w:val="00CA7DF5"/>
    <w:rsid w:val="00CB3A11"/>
    <w:rsid w:val="00CB7A06"/>
    <w:rsid w:val="00CD4AE3"/>
    <w:rsid w:val="00D07BDB"/>
    <w:rsid w:val="00D13793"/>
    <w:rsid w:val="00D66D49"/>
    <w:rsid w:val="00D80754"/>
    <w:rsid w:val="00D95CB4"/>
    <w:rsid w:val="00D95F11"/>
    <w:rsid w:val="00DD1BCD"/>
    <w:rsid w:val="00DD209D"/>
    <w:rsid w:val="00DD37A2"/>
    <w:rsid w:val="00E4630A"/>
    <w:rsid w:val="00E57B09"/>
    <w:rsid w:val="00EA103F"/>
    <w:rsid w:val="00F2068A"/>
    <w:rsid w:val="00F20BAF"/>
    <w:rsid w:val="00F4000F"/>
    <w:rsid w:val="00F46696"/>
    <w:rsid w:val="00F92DCD"/>
    <w:rsid w:val="00FA41F5"/>
    <w:rsid w:val="00FB3CB4"/>
    <w:rsid w:val="00FB3F11"/>
    <w:rsid w:val="02CF0CBE"/>
    <w:rsid w:val="02EF3938"/>
    <w:rsid w:val="03886A15"/>
    <w:rsid w:val="03E57E92"/>
    <w:rsid w:val="040449B4"/>
    <w:rsid w:val="04603E27"/>
    <w:rsid w:val="048D730D"/>
    <w:rsid w:val="04A04307"/>
    <w:rsid w:val="04B25E79"/>
    <w:rsid w:val="04D127FE"/>
    <w:rsid w:val="04E97827"/>
    <w:rsid w:val="05541C54"/>
    <w:rsid w:val="055A3260"/>
    <w:rsid w:val="06033E66"/>
    <w:rsid w:val="07256CFE"/>
    <w:rsid w:val="0769378A"/>
    <w:rsid w:val="08597654"/>
    <w:rsid w:val="08E60555"/>
    <w:rsid w:val="09AB5E02"/>
    <w:rsid w:val="09F4565E"/>
    <w:rsid w:val="09F67F85"/>
    <w:rsid w:val="0A4759EB"/>
    <w:rsid w:val="0BA00E8E"/>
    <w:rsid w:val="0C1D249A"/>
    <w:rsid w:val="0E1A10EE"/>
    <w:rsid w:val="0E830D7D"/>
    <w:rsid w:val="0EDF6A37"/>
    <w:rsid w:val="0F345506"/>
    <w:rsid w:val="100A6F70"/>
    <w:rsid w:val="113A2ED9"/>
    <w:rsid w:val="11A54A50"/>
    <w:rsid w:val="12905590"/>
    <w:rsid w:val="12B3383D"/>
    <w:rsid w:val="14923051"/>
    <w:rsid w:val="158651AE"/>
    <w:rsid w:val="15DC0CFF"/>
    <w:rsid w:val="16662C9A"/>
    <w:rsid w:val="17E749F4"/>
    <w:rsid w:val="199A7D2F"/>
    <w:rsid w:val="19C958B7"/>
    <w:rsid w:val="19ED04F1"/>
    <w:rsid w:val="1B91415D"/>
    <w:rsid w:val="1C6349A3"/>
    <w:rsid w:val="1CAB7481"/>
    <w:rsid w:val="1CC55FA0"/>
    <w:rsid w:val="1CE568DC"/>
    <w:rsid w:val="1CE60755"/>
    <w:rsid w:val="1E8F0EA6"/>
    <w:rsid w:val="1EDF6194"/>
    <w:rsid w:val="1FFD097B"/>
    <w:rsid w:val="21E16551"/>
    <w:rsid w:val="22340AF1"/>
    <w:rsid w:val="22407E00"/>
    <w:rsid w:val="23053713"/>
    <w:rsid w:val="23926914"/>
    <w:rsid w:val="23E4633C"/>
    <w:rsid w:val="23FF0527"/>
    <w:rsid w:val="24CD53AF"/>
    <w:rsid w:val="24D40764"/>
    <w:rsid w:val="24E65990"/>
    <w:rsid w:val="25A400FF"/>
    <w:rsid w:val="25EA5EF6"/>
    <w:rsid w:val="280312A6"/>
    <w:rsid w:val="287D78ED"/>
    <w:rsid w:val="290E77FC"/>
    <w:rsid w:val="29973FDA"/>
    <w:rsid w:val="2B9A7DAE"/>
    <w:rsid w:val="2C2B48BE"/>
    <w:rsid w:val="2CD237A3"/>
    <w:rsid w:val="2D022791"/>
    <w:rsid w:val="2D187A40"/>
    <w:rsid w:val="2D1B2BCF"/>
    <w:rsid w:val="2D2C5AB7"/>
    <w:rsid w:val="2D556E85"/>
    <w:rsid w:val="2D984466"/>
    <w:rsid w:val="2DF10D15"/>
    <w:rsid w:val="2E3B1CC6"/>
    <w:rsid w:val="2E781959"/>
    <w:rsid w:val="2E7A3577"/>
    <w:rsid w:val="2ECE240D"/>
    <w:rsid w:val="2FAD1813"/>
    <w:rsid w:val="313F233C"/>
    <w:rsid w:val="34150141"/>
    <w:rsid w:val="351615F2"/>
    <w:rsid w:val="366A7A95"/>
    <w:rsid w:val="36FA3B96"/>
    <w:rsid w:val="37346038"/>
    <w:rsid w:val="375A492F"/>
    <w:rsid w:val="38CA3A27"/>
    <w:rsid w:val="396607FF"/>
    <w:rsid w:val="39BF6C4E"/>
    <w:rsid w:val="3A9445C9"/>
    <w:rsid w:val="3AE27DEB"/>
    <w:rsid w:val="3BAB5D90"/>
    <w:rsid w:val="3F300537"/>
    <w:rsid w:val="3F787261"/>
    <w:rsid w:val="3F84554C"/>
    <w:rsid w:val="401C3FA7"/>
    <w:rsid w:val="403509B9"/>
    <w:rsid w:val="40C51BFE"/>
    <w:rsid w:val="425035C8"/>
    <w:rsid w:val="425C5113"/>
    <w:rsid w:val="42E1587C"/>
    <w:rsid w:val="439457DA"/>
    <w:rsid w:val="43BF78DC"/>
    <w:rsid w:val="44542E74"/>
    <w:rsid w:val="44847599"/>
    <w:rsid w:val="45135A34"/>
    <w:rsid w:val="458325F7"/>
    <w:rsid w:val="462A4963"/>
    <w:rsid w:val="46C11F55"/>
    <w:rsid w:val="479B4E15"/>
    <w:rsid w:val="487E323B"/>
    <w:rsid w:val="4886327B"/>
    <w:rsid w:val="488E03B7"/>
    <w:rsid w:val="492B079D"/>
    <w:rsid w:val="4A5236B8"/>
    <w:rsid w:val="4AE923E7"/>
    <w:rsid w:val="4AF77CAF"/>
    <w:rsid w:val="4B5835DA"/>
    <w:rsid w:val="4B9B038A"/>
    <w:rsid w:val="4FB17891"/>
    <w:rsid w:val="50F911EF"/>
    <w:rsid w:val="51995017"/>
    <w:rsid w:val="51DD4401"/>
    <w:rsid w:val="526017E3"/>
    <w:rsid w:val="54354D7E"/>
    <w:rsid w:val="5498511E"/>
    <w:rsid w:val="55003FDE"/>
    <w:rsid w:val="552F7DB7"/>
    <w:rsid w:val="55337A83"/>
    <w:rsid w:val="55557008"/>
    <w:rsid w:val="557F62D8"/>
    <w:rsid w:val="55B66485"/>
    <w:rsid w:val="56134F71"/>
    <w:rsid w:val="56261620"/>
    <w:rsid w:val="5693490F"/>
    <w:rsid w:val="56F31B88"/>
    <w:rsid w:val="571D084D"/>
    <w:rsid w:val="573E0CA7"/>
    <w:rsid w:val="579C2F50"/>
    <w:rsid w:val="582544D7"/>
    <w:rsid w:val="58D40018"/>
    <w:rsid w:val="58DE6E03"/>
    <w:rsid w:val="59A22DB5"/>
    <w:rsid w:val="59A55F32"/>
    <w:rsid w:val="59B57B41"/>
    <w:rsid w:val="5CF46D13"/>
    <w:rsid w:val="5D310964"/>
    <w:rsid w:val="5D4A59DB"/>
    <w:rsid w:val="5E264030"/>
    <w:rsid w:val="5E553FCC"/>
    <w:rsid w:val="5E8E627C"/>
    <w:rsid w:val="5F2A3FEC"/>
    <w:rsid w:val="607A59CB"/>
    <w:rsid w:val="60CF7DA8"/>
    <w:rsid w:val="61742145"/>
    <w:rsid w:val="617472C0"/>
    <w:rsid w:val="626B3B77"/>
    <w:rsid w:val="63024F53"/>
    <w:rsid w:val="63CF4B90"/>
    <w:rsid w:val="65330753"/>
    <w:rsid w:val="664E589F"/>
    <w:rsid w:val="67006728"/>
    <w:rsid w:val="672D69EB"/>
    <w:rsid w:val="68A034E3"/>
    <w:rsid w:val="6914498A"/>
    <w:rsid w:val="6AE03D68"/>
    <w:rsid w:val="6B082FB4"/>
    <w:rsid w:val="6CD402CD"/>
    <w:rsid w:val="6ED46458"/>
    <w:rsid w:val="6F38381C"/>
    <w:rsid w:val="6F9C46FB"/>
    <w:rsid w:val="6FFB1086"/>
    <w:rsid w:val="705C5AF8"/>
    <w:rsid w:val="70646001"/>
    <w:rsid w:val="718B547D"/>
    <w:rsid w:val="71DE07D3"/>
    <w:rsid w:val="726A54B2"/>
    <w:rsid w:val="727974EC"/>
    <w:rsid w:val="74FA5282"/>
    <w:rsid w:val="759879A5"/>
    <w:rsid w:val="76293CA6"/>
    <w:rsid w:val="76D30133"/>
    <w:rsid w:val="771536C7"/>
    <w:rsid w:val="790243D4"/>
    <w:rsid w:val="7C772BB9"/>
    <w:rsid w:val="7C7F5AE4"/>
    <w:rsid w:val="7D0241D1"/>
    <w:rsid w:val="7D6E69D8"/>
    <w:rsid w:val="7DE61B03"/>
    <w:rsid w:val="7F6251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1"/>
    <w:qFormat/>
    <w:uiPriority w:val="0"/>
    <w:pPr>
      <w:keepNext/>
      <w:keepLines/>
      <w:pageBreakBefore/>
      <w:numPr>
        <w:ilvl w:val="0"/>
        <w:numId w:val="1"/>
      </w:numPr>
      <w:spacing w:before="240" w:after="240" w:line="360" w:lineRule="auto"/>
      <w:outlineLvl w:val="0"/>
    </w:pPr>
    <w:rPr>
      <w:rFonts w:ascii="Times New Roman" w:hAnsi="Times New Roman"/>
      <w:b/>
      <w:kern w:val="44"/>
      <w:sz w:val="32"/>
      <w:szCs w:val="20"/>
    </w:rPr>
  </w:style>
  <w:style w:type="paragraph" w:styleId="4">
    <w:name w:val="heading 2"/>
    <w:basedOn w:val="1"/>
    <w:next w:val="5"/>
    <w:link w:val="32"/>
    <w:qFormat/>
    <w:uiPriority w:val="0"/>
    <w:pPr>
      <w:keepLines/>
      <w:numPr>
        <w:ilvl w:val="1"/>
        <w:numId w:val="1"/>
      </w:numPr>
      <w:pBdr>
        <w:bottom w:val="single" w:color="auto" w:sz="12" w:space="1"/>
      </w:pBdr>
      <w:spacing w:before="960" w:after="960"/>
      <w:outlineLvl w:val="1"/>
    </w:pPr>
    <w:rPr>
      <w:rFonts w:ascii="Times New Roman" w:hAnsi="Times New Roman"/>
      <w:b/>
      <w:sz w:val="32"/>
      <w:szCs w:val="20"/>
    </w:rPr>
  </w:style>
  <w:style w:type="paragraph" w:styleId="6">
    <w:name w:val="heading 3"/>
    <w:basedOn w:val="1"/>
    <w:next w:val="5"/>
    <w:link w:val="33"/>
    <w:qFormat/>
    <w:uiPriority w:val="0"/>
    <w:pPr>
      <w:numPr>
        <w:ilvl w:val="2"/>
        <w:numId w:val="1"/>
      </w:numPr>
      <w:spacing w:before="400" w:after="200" w:line="360" w:lineRule="auto"/>
      <w:outlineLvl w:val="2"/>
    </w:pPr>
    <w:rPr>
      <w:rFonts w:ascii="宋体" w:hAnsi="宋体"/>
      <w:b/>
      <w:kern w:val="0"/>
      <w:sz w:val="24"/>
      <w:szCs w:val="20"/>
    </w:rPr>
  </w:style>
  <w:style w:type="paragraph" w:styleId="7">
    <w:name w:val="heading 4"/>
    <w:basedOn w:val="1"/>
    <w:next w:val="5"/>
    <w:link w:val="34"/>
    <w:qFormat/>
    <w:uiPriority w:val="0"/>
    <w:pPr>
      <w:numPr>
        <w:ilvl w:val="3"/>
        <w:numId w:val="1"/>
      </w:numPr>
      <w:spacing w:beforeLines="50" w:after="60" w:line="360" w:lineRule="auto"/>
      <w:outlineLvl w:val="3"/>
    </w:pPr>
    <w:rPr>
      <w:rFonts w:ascii="Times New Roman" w:hAnsi="Times New Roman"/>
      <w:b/>
      <w:sz w:val="24"/>
      <w:szCs w:val="20"/>
    </w:rPr>
  </w:style>
  <w:style w:type="paragraph" w:styleId="8">
    <w:name w:val="heading 5"/>
    <w:basedOn w:val="1"/>
    <w:next w:val="5"/>
    <w:link w:val="36"/>
    <w:qFormat/>
    <w:uiPriority w:val="0"/>
    <w:pPr>
      <w:keepNext/>
      <w:numPr>
        <w:ilvl w:val="4"/>
        <w:numId w:val="1"/>
      </w:numPr>
      <w:spacing w:before="400" w:after="60" w:line="360" w:lineRule="auto"/>
      <w:outlineLvl w:val="4"/>
    </w:pPr>
    <w:rPr>
      <w:rFonts w:ascii="Times New Roman" w:hAnsi="Times New Roman"/>
      <w:b/>
      <w:sz w:val="24"/>
      <w:szCs w:val="20"/>
    </w:rPr>
  </w:style>
  <w:style w:type="paragraph" w:styleId="9">
    <w:name w:val="heading 6"/>
    <w:basedOn w:val="1"/>
    <w:next w:val="5"/>
    <w:link w:val="38"/>
    <w:qFormat/>
    <w:uiPriority w:val="0"/>
    <w:pPr>
      <w:keepNext/>
      <w:numPr>
        <w:ilvl w:val="5"/>
        <w:numId w:val="1"/>
      </w:numPr>
      <w:snapToGrid w:val="0"/>
      <w:spacing w:before="400" w:after="200" w:line="360" w:lineRule="auto"/>
      <w:outlineLvl w:val="5"/>
    </w:pPr>
    <w:rPr>
      <w:rFonts w:ascii="宋体" w:hAnsi="Times New Roman"/>
      <w:sz w:val="24"/>
      <w:szCs w:val="20"/>
    </w:rPr>
  </w:style>
  <w:style w:type="paragraph" w:styleId="10">
    <w:name w:val="heading 7"/>
    <w:basedOn w:val="1"/>
    <w:next w:val="5"/>
    <w:link w:val="39"/>
    <w:qFormat/>
    <w:uiPriority w:val="0"/>
    <w:pPr>
      <w:keepNext/>
      <w:numPr>
        <w:ilvl w:val="6"/>
        <w:numId w:val="1"/>
      </w:numPr>
      <w:snapToGrid w:val="0"/>
      <w:spacing w:before="400" w:after="200" w:line="360" w:lineRule="auto"/>
      <w:outlineLvl w:val="6"/>
    </w:pPr>
    <w:rPr>
      <w:rFonts w:ascii="Times New Roman" w:hAnsi="Times New Roman"/>
      <w:color w:val="008000"/>
      <w:sz w:val="28"/>
      <w:szCs w:val="20"/>
    </w:rPr>
  </w:style>
  <w:style w:type="paragraph" w:styleId="11">
    <w:name w:val="heading 8"/>
    <w:basedOn w:val="1"/>
    <w:next w:val="5"/>
    <w:link w:val="40"/>
    <w:qFormat/>
    <w:uiPriority w:val="0"/>
    <w:pPr>
      <w:keepNext/>
      <w:numPr>
        <w:ilvl w:val="7"/>
        <w:numId w:val="1"/>
      </w:numPr>
      <w:snapToGrid w:val="0"/>
      <w:spacing w:before="400" w:after="200" w:line="360" w:lineRule="auto"/>
      <w:outlineLvl w:val="7"/>
    </w:pPr>
    <w:rPr>
      <w:rFonts w:ascii="Times New Roman" w:hAnsi="Times New Roman"/>
      <w:color w:val="008000"/>
      <w:sz w:val="28"/>
      <w:szCs w:val="20"/>
    </w:rPr>
  </w:style>
  <w:style w:type="paragraph" w:styleId="12">
    <w:name w:val="heading 9"/>
    <w:basedOn w:val="1"/>
    <w:next w:val="1"/>
    <w:link w:val="4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styleId="5">
    <w:name w:val="Normal Indent"/>
    <w:basedOn w:val="1"/>
    <w:unhideWhenUsed/>
    <w:qFormat/>
    <w:uiPriority w:val="99"/>
    <w:pPr>
      <w:spacing w:before="400" w:after="200"/>
      <w:ind w:left="567" w:firstLine="420" w:firstLineChars="200"/>
    </w:pPr>
    <w:rPr>
      <w:rFonts w:ascii="Times New Roman" w:hAnsi="Times New Roman"/>
    </w:rPr>
  </w:style>
  <w:style w:type="paragraph" w:styleId="13">
    <w:name w:val="caption"/>
    <w:basedOn w:val="1"/>
    <w:next w:val="1"/>
    <w:qFormat/>
    <w:uiPriority w:val="0"/>
    <w:pPr>
      <w:spacing w:before="152" w:after="160"/>
      <w:ind w:left="567" w:hanging="567"/>
    </w:pPr>
    <w:rPr>
      <w:rFonts w:ascii="Arial" w:hAnsi="Arial" w:eastAsia="黑体" w:cs="Arial"/>
      <w:sz w:val="20"/>
      <w:szCs w:val="20"/>
    </w:rPr>
  </w:style>
  <w:style w:type="paragraph" w:styleId="14">
    <w:name w:val="Document Map"/>
    <w:basedOn w:val="1"/>
    <w:link w:val="54"/>
    <w:unhideWhenUsed/>
    <w:qFormat/>
    <w:uiPriority w:val="99"/>
    <w:rPr>
      <w:rFonts w:ascii="宋体"/>
      <w:sz w:val="18"/>
      <w:szCs w:val="18"/>
    </w:rPr>
  </w:style>
  <w:style w:type="paragraph" w:styleId="15">
    <w:name w:val="Body Text"/>
    <w:basedOn w:val="1"/>
    <w:next w:val="16"/>
    <w:link w:val="59"/>
    <w:unhideWhenUsed/>
    <w:qFormat/>
    <w:uiPriority w:val="99"/>
    <w:pPr>
      <w:autoSpaceDE w:val="0"/>
      <w:autoSpaceDN w:val="0"/>
      <w:jc w:val="left"/>
    </w:pPr>
    <w:rPr>
      <w:rFonts w:ascii="宋体" w:hAnsi="宋体" w:cs="宋体"/>
      <w:kern w:val="0"/>
      <w:sz w:val="24"/>
    </w:rPr>
  </w:style>
  <w:style w:type="paragraph" w:styleId="16">
    <w:name w:val="List Bullet 5"/>
    <w:basedOn w:val="1"/>
    <w:semiHidden/>
    <w:unhideWhenUsed/>
    <w:qFormat/>
    <w:uiPriority w:val="99"/>
    <w:pPr>
      <w:numPr>
        <w:ilvl w:val="0"/>
        <w:numId w:val="2"/>
      </w:numPr>
    </w:pPr>
  </w:style>
  <w:style w:type="paragraph" w:styleId="17">
    <w:name w:val="Body Text Indent"/>
    <w:basedOn w:val="1"/>
    <w:qFormat/>
    <w:uiPriority w:val="0"/>
    <w:pPr>
      <w:ind w:firstLine="480"/>
    </w:pPr>
    <w:rPr>
      <w:sz w:val="24"/>
    </w:rPr>
  </w:style>
  <w:style w:type="paragraph" w:styleId="18">
    <w:name w:val="toc 5"/>
    <w:basedOn w:val="1"/>
    <w:next w:val="1"/>
    <w:qFormat/>
    <w:uiPriority w:val="0"/>
    <w:pPr>
      <w:ind w:left="1680" w:leftChars="800"/>
    </w:pPr>
  </w:style>
  <w:style w:type="paragraph" w:styleId="19">
    <w:name w:val="Balloon Text"/>
    <w:basedOn w:val="1"/>
    <w:link w:val="55"/>
    <w:unhideWhenUsed/>
    <w:qFormat/>
    <w:uiPriority w:val="99"/>
    <w:rPr>
      <w:sz w:val="18"/>
      <w:szCs w:val="18"/>
    </w:rPr>
  </w:style>
  <w:style w:type="paragraph" w:styleId="20">
    <w:name w:val="footer"/>
    <w:basedOn w:val="1"/>
    <w:link w:val="48"/>
    <w:qFormat/>
    <w:uiPriority w:val="0"/>
    <w:pPr>
      <w:tabs>
        <w:tab w:val="center" w:pos="4153"/>
        <w:tab w:val="right" w:pos="8306"/>
      </w:tabs>
      <w:snapToGrid w:val="0"/>
      <w:jc w:val="left"/>
    </w:pPr>
    <w:rPr>
      <w:sz w:val="18"/>
      <w:szCs w:val="18"/>
    </w:rPr>
  </w:style>
  <w:style w:type="paragraph" w:styleId="21">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22">
    <w:name w:val="Subtitle"/>
    <w:basedOn w:val="1"/>
    <w:link w:val="43"/>
    <w:qFormat/>
    <w:uiPriority w:val="0"/>
    <w:pPr>
      <w:spacing w:before="240" w:after="60" w:line="312" w:lineRule="auto"/>
      <w:ind w:left="567" w:hanging="567"/>
      <w:jc w:val="center"/>
      <w:outlineLvl w:val="1"/>
    </w:pPr>
    <w:rPr>
      <w:rFonts w:ascii="Arial" w:hAnsi="Arial" w:cs="Arial"/>
      <w:b/>
      <w:bCs/>
      <w:kern w:val="28"/>
      <w:sz w:val="32"/>
      <w:szCs w:val="32"/>
    </w:rPr>
  </w:style>
  <w:style w:type="paragraph" w:styleId="23">
    <w:name w:val="Normal (Web)"/>
    <w:basedOn w:val="1"/>
    <w:unhideWhenUsed/>
    <w:qFormat/>
    <w:uiPriority w:val="99"/>
    <w:pPr>
      <w:spacing w:before="100" w:beforeAutospacing="1" w:after="100" w:afterAutospacing="1" w:line="360" w:lineRule="auto"/>
      <w:ind w:firstLine="200" w:firstLineChars="200"/>
      <w:jc w:val="left"/>
    </w:pPr>
    <w:rPr>
      <w:rFonts w:ascii="Times New Roman" w:hAnsi="Times New Roman"/>
      <w:kern w:val="0"/>
      <w:sz w:val="24"/>
    </w:rPr>
  </w:style>
  <w:style w:type="paragraph" w:styleId="24">
    <w:name w:val="Title"/>
    <w:basedOn w:val="1"/>
    <w:link w:val="42"/>
    <w:qFormat/>
    <w:uiPriority w:val="0"/>
    <w:pPr>
      <w:spacing w:before="240" w:after="60"/>
      <w:ind w:left="567" w:hanging="567"/>
      <w:jc w:val="center"/>
      <w:outlineLvl w:val="0"/>
    </w:pPr>
    <w:rPr>
      <w:rFonts w:ascii="Arial" w:hAnsi="Arial" w:cs="Arial"/>
      <w:b/>
      <w:bCs/>
      <w:sz w:val="32"/>
      <w:szCs w:val="32"/>
    </w:rPr>
  </w:style>
  <w:style w:type="character" w:styleId="27">
    <w:name w:val="Strong"/>
    <w:qFormat/>
    <w:uiPriority w:val="0"/>
    <w:rPr>
      <w:b/>
      <w:bCs/>
    </w:rPr>
  </w:style>
  <w:style w:type="character" w:styleId="28">
    <w:name w:val="page number"/>
    <w:qFormat/>
    <w:uiPriority w:val="0"/>
  </w:style>
  <w:style w:type="character" w:styleId="29">
    <w:name w:val="Emphasis"/>
    <w:qFormat/>
    <w:uiPriority w:val="0"/>
    <w:rPr>
      <w:i/>
      <w:iCs/>
    </w:rPr>
  </w:style>
  <w:style w:type="paragraph" w:customStyle="1" w:styleId="30">
    <w:name w:val="Default"/>
    <w:next w:val="2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1">
    <w:name w:val="标题 1 Char"/>
    <w:basedOn w:val="26"/>
    <w:link w:val="3"/>
    <w:qFormat/>
    <w:uiPriority w:val="0"/>
    <w:rPr>
      <w:b/>
      <w:kern w:val="44"/>
      <w:sz w:val="32"/>
    </w:rPr>
  </w:style>
  <w:style w:type="character" w:customStyle="1" w:styleId="32">
    <w:name w:val="标题 2 Char"/>
    <w:basedOn w:val="26"/>
    <w:link w:val="4"/>
    <w:qFormat/>
    <w:uiPriority w:val="0"/>
    <w:rPr>
      <w:b/>
      <w:kern w:val="2"/>
      <w:sz w:val="32"/>
    </w:rPr>
  </w:style>
  <w:style w:type="character" w:customStyle="1" w:styleId="33">
    <w:name w:val="标题 3 Char"/>
    <w:basedOn w:val="26"/>
    <w:link w:val="6"/>
    <w:qFormat/>
    <w:uiPriority w:val="0"/>
    <w:rPr>
      <w:rFonts w:ascii="宋体" w:hAnsi="宋体"/>
      <w:b/>
      <w:sz w:val="24"/>
    </w:rPr>
  </w:style>
  <w:style w:type="character" w:customStyle="1" w:styleId="34">
    <w:name w:val="标题 4 Char"/>
    <w:basedOn w:val="26"/>
    <w:link w:val="7"/>
    <w:qFormat/>
    <w:uiPriority w:val="0"/>
    <w:rPr>
      <w:b/>
      <w:kern w:val="2"/>
      <w:sz w:val="24"/>
    </w:rPr>
  </w:style>
  <w:style w:type="character" w:customStyle="1" w:styleId="35">
    <w:name w:val="标题 4 Char2"/>
    <w:qFormat/>
    <w:uiPriority w:val="0"/>
    <w:rPr>
      <w:rFonts w:eastAsia="宋体"/>
      <w:b/>
      <w:kern w:val="2"/>
      <w:sz w:val="24"/>
      <w:lang w:val="en-US" w:eastAsia="zh-CN" w:bidi="ar-SA"/>
    </w:rPr>
  </w:style>
  <w:style w:type="character" w:customStyle="1" w:styleId="36">
    <w:name w:val="标题 5 Char"/>
    <w:basedOn w:val="26"/>
    <w:link w:val="8"/>
    <w:qFormat/>
    <w:uiPriority w:val="0"/>
    <w:rPr>
      <w:b/>
      <w:kern w:val="2"/>
      <w:sz w:val="24"/>
    </w:rPr>
  </w:style>
  <w:style w:type="character" w:customStyle="1" w:styleId="37">
    <w:name w:val="标题 5 Char2"/>
    <w:qFormat/>
    <w:uiPriority w:val="0"/>
    <w:rPr>
      <w:rFonts w:eastAsia="宋体"/>
      <w:b/>
      <w:kern w:val="2"/>
      <w:sz w:val="24"/>
      <w:lang w:val="en-US" w:eastAsia="zh-CN" w:bidi="ar-SA"/>
    </w:rPr>
  </w:style>
  <w:style w:type="character" w:customStyle="1" w:styleId="38">
    <w:name w:val="标题 6 Char"/>
    <w:basedOn w:val="26"/>
    <w:link w:val="9"/>
    <w:qFormat/>
    <w:uiPriority w:val="0"/>
    <w:rPr>
      <w:rFonts w:ascii="宋体"/>
      <w:kern w:val="2"/>
      <w:sz w:val="24"/>
    </w:rPr>
  </w:style>
  <w:style w:type="character" w:customStyle="1" w:styleId="39">
    <w:name w:val="标题 7 Char"/>
    <w:basedOn w:val="26"/>
    <w:link w:val="10"/>
    <w:qFormat/>
    <w:uiPriority w:val="0"/>
    <w:rPr>
      <w:color w:val="008000"/>
      <w:kern w:val="2"/>
      <w:sz w:val="28"/>
    </w:rPr>
  </w:style>
  <w:style w:type="character" w:customStyle="1" w:styleId="40">
    <w:name w:val="标题 8 Char"/>
    <w:basedOn w:val="26"/>
    <w:link w:val="11"/>
    <w:qFormat/>
    <w:uiPriority w:val="0"/>
    <w:rPr>
      <w:color w:val="008000"/>
      <w:kern w:val="2"/>
      <w:sz w:val="28"/>
    </w:rPr>
  </w:style>
  <w:style w:type="character" w:customStyle="1" w:styleId="41">
    <w:name w:val="标题 9 Char"/>
    <w:basedOn w:val="26"/>
    <w:link w:val="12"/>
    <w:qFormat/>
    <w:uiPriority w:val="0"/>
    <w:rPr>
      <w:rFonts w:ascii="Arial" w:hAnsi="Arial" w:eastAsia="黑体"/>
      <w:sz w:val="24"/>
    </w:rPr>
  </w:style>
  <w:style w:type="character" w:customStyle="1" w:styleId="42">
    <w:name w:val="标题 Char"/>
    <w:basedOn w:val="26"/>
    <w:link w:val="24"/>
    <w:qFormat/>
    <w:uiPriority w:val="0"/>
    <w:rPr>
      <w:rFonts w:ascii="Arial" w:hAnsi="Arial" w:cs="Arial"/>
      <w:b/>
      <w:bCs/>
      <w:kern w:val="2"/>
      <w:sz w:val="32"/>
      <w:szCs w:val="32"/>
    </w:rPr>
  </w:style>
  <w:style w:type="character" w:customStyle="1" w:styleId="43">
    <w:name w:val="副标题 Char"/>
    <w:basedOn w:val="26"/>
    <w:link w:val="22"/>
    <w:qFormat/>
    <w:uiPriority w:val="0"/>
    <w:rPr>
      <w:rFonts w:ascii="Arial" w:hAnsi="Arial" w:cs="Arial"/>
      <w:b/>
      <w:bCs/>
      <w:kern w:val="28"/>
      <w:sz w:val="32"/>
      <w:szCs w:val="32"/>
    </w:rPr>
  </w:style>
  <w:style w:type="paragraph" w:customStyle="1" w:styleId="44">
    <w:name w:val="列表段落1"/>
    <w:basedOn w:val="1"/>
    <w:qFormat/>
    <w:uiPriority w:val="0"/>
    <w:pPr>
      <w:spacing w:before="400" w:after="200"/>
      <w:ind w:left="567" w:firstLine="420" w:firstLineChars="200"/>
    </w:pPr>
    <w:rPr>
      <w:rFonts w:ascii="Times New Roman" w:hAnsi="Times New Roman"/>
    </w:rPr>
  </w:style>
  <w:style w:type="paragraph" w:customStyle="1" w:styleId="45">
    <w:name w:val="君邦正文"/>
    <w:link w:val="46"/>
    <w:qFormat/>
    <w:uiPriority w:val="0"/>
    <w:pPr>
      <w:spacing w:before="400" w:after="60" w:line="360" w:lineRule="auto"/>
      <w:ind w:left="567" w:firstLine="480" w:firstLineChars="200"/>
      <w:jc w:val="both"/>
    </w:pPr>
    <w:rPr>
      <w:rFonts w:ascii="Times New Roman" w:hAnsi="Times New Roman" w:eastAsia="宋体" w:cs="Times New Roman"/>
      <w:bCs/>
      <w:snapToGrid w:val="0"/>
      <w:sz w:val="24"/>
      <w:lang w:val="en-US" w:eastAsia="zh-CN" w:bidi="ar-SA"/>
    </w:rPr>
  </w:style>
  <w:style w:type="character" w:customStyle="1" w:styleId="46">
    <w:name w:val="君邦正文 Char2"/>
    <w:link w:val="45"/>
    <w:qFormat/>
    <w:uiPriority w:val="0"/>
    <w:rPr>
      <w:bCs/>
      <w:snapToGrid w:val="0"/>
      <w:sz w:val="24"/>
    </w:rPr>
  </w:style>
  <w:style w:type="character" w:customStyle="1" w:styleId="47">
    <w:name w:val="页眉 Char"/>
    <w:basedOn w:val="26"/>
    <w:link w:val="21"/>
    <w:qFormat/>
    <w:uiPriority w:val="0"/>
    <w:rPr>
      <w:rFonts w:ascii="Calibri" w:hAnsi="Calibri"/>
      <w:kern w:val="2"/>
      <w:sz w:val="18"/>
      <w:szCs w:val="18"/>
    </w:rPr>
  </w:style>
  <w:style w:type="character" w:customStyle="1" w:styleId="48">
    <w:name w:val="页脚 Char"/>
    <w:basedOn w:val="26"/>
    <w:link w:val="20"/>
    <w:qFormat/>
    <w:uiPriority w:val="0"/>
    <w:rPr>
      <w:rFonts w:ascii="Calibri" w:hAnsi="Calibri"/>
      <w:kern w:val="2"/>
      <w:sz w:val="18"/>
      <w:szCs w:val="18"/>
    </w:rPr>
  </w:style>
  <w:style w:type="paragraph" w:customStyle="1" w:styleId="49">
    <w:name w:val="样式8"/>
    <w:basedOn w:val="1"/>
    <w:qFormat/>
    <w:uiPriority w:val="0"/>
    <w:pPr>
      <w:spacing w:beforeLines="50" w:afterLines="50" w:line="360" w:lineRule="auto"/>
      <w:ind w:firstLine="573"/>
    </w:pPr>
    <w:rPr>
      <w:rFonts w:ascii="Arial" w:hAnsi="Arial" w:cs="Arial"/>
      <w:color w:val="000000"/>
      <w:sz w:val="24"/>
    </w:rPr>
  </w:style>
  <w:style w:type="paragraph" w:customStyle="1" w:styleId="50">
    <w:name w:val="表内字体"/>
    <w:basedOn w:val="1"/>
    <w:next w:val="45"/>
    <w:link w:val="51"/>
    <w:qFormat/>
    <w:uiPriority w:val="0"/>
    <w:pPr>
      <w:adjustRightInd w:val="0"/>
      <w:snapToGrid w:val="0"/>
      <w:jc w:val="center"/>
      <w:textAlignment w:val="baseline"/>
    </w:pPr>
    <w:rPr>
      <w:rFonts w:ascii="Times New Roman" w:hAnsi="Times New Roman"/>
      <w:kern w:val="0"/>
      <w:sz w:val="18"/>
      <w:szCs w:val="18"/>
    </w:rPr>
  </w:style>
  <w:style w:type="character" w:customStyle="1" w:styleId="51">
    <w:name w:val="表内字体 Char"/>
    <w:link w:val="50"/>
    <w:qFormat/>
    <w:locked/>
    <w:uiPriority w:val="0"/>
    <w:rPr>
      <w:sz w:val="18"/>
      <w:szCs w:val="18"/>
    </w:rPr>
  </w:style>
  <w:style w:type="character" w:customStyle="1" w:styleId="52">
    <w:name w:val="表内格式 Char1"/>
    <w:link w:val="53"/>
    <w:qFormat/>
    <w:locked/>
    <w:uiPriority w:val="0"/>
    <w:rPr>
      <w:kern w:val="2"/>
      <w:sz w:val="18"/>
    </w:rPr>
  </w:style>
  <w:style w:type="paragraph" w:customStyle="1" w:styleId="53">
    <w:name w:val="表内格式"/>
    <w:basedOn w:val="1"/>
    <w:link w:val="52"/>
    <w:qFormat/>
    <w:uiPriority w:val="0"/>
    <w:pPr>
      <w:jc w:val="center"/>
    </w:pPr>
    <w:rPr>
      <w:rFonts w:ascii="Times New Roman" w:hAnsi="Times New Roman"/>
      <w:sz w:val="18"/>
      <w:szCs w:val="20"/>
    </w:rPr>
  </w:style>
  <w:style w:type="character" w:customStyle="1" w:styleId="54">
    <w:name w:val="文档结构图 Char"/>
    <w:basedOn w:val="26"/>
    <w:link w:val="14"/>
    <w:semiHidden/>
    <w:qFormat/>
    <w:uiPriority w:val="99"/>
    <w:rPr>
      <w:rFonts w:ascii="宋体" w:hAnsi="Calibri"/>
      <w:kern w:val="2"/>
      <w:sz w:val="18"/>
      <w:szCs w:val="18"/>
    </w:rPr>
  </w:style>
  <w:style w:type="character" w:customStyle="1" w:styleId="55">
    <w:name w:val="批注框文本 Char"/>
    <w:basedOn w:val="26"/>
    <w:link w:val="19"/>
    <w:semiHidden/>
    <w:qFormat/>
    <w:uiPriority w:val="99"/>
    <w:rPr>
      <w:rFonts w:ascii="Calibri" w:hAnsi="Calibri"/>
      <w:kern w:val="2"/>
      <w:sz w:val="18"/>
      <w:szCs w:val="18"/>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正文啊啊"/>
    <w:basedOn w:val="1"/>
    <w:qFormat/>
    <w:uiPriority w:val="0"/>
    <w:pPr>
      <w:spacing w:before="100" w:beforeAutospacing="1" w:after="100" w:afterAutospacing="1" w:line="360" w:lineRule="auto"/>
      <w:ind w:left="50" w:leftChars="50"/>
    </w:pPr>
    <w:rPr>
      <w:rFonts w:ascii="Times New Roman" w:hAnsi="Times New Roman"/>
      <w:sz w:val="24"/>
    </w:rPr>
  </w:style>
  <w:style w:type="paragraph" w:customStyle="1" w:styleId="58">
    <w:name w:val="正文2"/>
    <w:qFormat/>
    <w:uiPriority w:val="0"/>
    <w:pPr>
      <w:jc w:val="both"/>
    </w:pPr>
    <w:rPr>
      <w:rFonts w:ascii="Calibri" w:hAnsi="Calibri" w:eastAsia="宋体" w:cs="Calibri"/>
      <w:kern w:val="2"/>
      <w:sz w:val="21"/>
      <w:szCs w:val="21"/>
      <w:lang w:val="en-US" w:eastAsia="zh-CN" w:bidi="ar-SA"/>
    </w:rPr>
  </w:style>
  <w:style w:type="character" w:customStyle="1" w:styleId="59">
    <w:name w:val="正文文本 Char"/>
    <w:basedOn w:val="26"/>
    <w:link w:val="15"/>
    <w:qFormat/>
    <w:uiPriority w:val="99"/>
    <w:rPr>
      <w:rFonts w:ascii="宋体" w:hAnsi="宋体" w:cs="宋体"/>
      <w:sz w:val="24"/>
      <w:szCs w:val="24"/>
    </w:rPr>
  </w:style>
  <w:style w:type="paragraph" w:customStyle="1" w:styleId="60">
    <w:name w:val="Table Paragraph"/>
    <w:basedOn w:val="1"/>
    <w:qFormat/>
    <w:uiPriority w:val="0"/>
    <w:pPr>
      <w:autoSpaceDE w:val="0"/>
      <w:autoSpaceDN w:val="0"/>
      <w:jc w:val="center"/>
    </w:pPr>
    <w:rPr>
      <w:rFonts w:ascii="宋体" w:hAnsi="宋体" w:cs="宋体"/>
      <w:kern w:val="0"/>
      <w:sz w:val="22"/>
      <w:szCs w:val="22"/>
    </w:rPr>
  </w:style>
  <w:style w:type="paragraph" w:customStyle="1" w:styleId="61">
    <w:name w:val="1-正文"/>
    <w:basedOn w:val="1"/>
    <w:qFormat/>
    <w:uiPriority w:val="0"/>
    <w:pPr>
      <w:spacing w:after="60"/>
      <w:ind w:firstLine="200"/>
    </w:pPr>
  </w:style>
  <w:style w:type="paragraph" w:customStyle="1" w:styleId="62">
    <w:name w:val="正文小四"/>
    <w:basedOn w:val="1"/>
    <w:qFormat/>
    <w:uiPriority w:val="0"/>
    <w:pPr>
      <w:ind w:firstLine="200" w:firstLineChars="200"/>
    </w:pPr>
  </w:style>
  <w:style w:type="paragraph" w:customStyle="1" w:styleId="63">
    <w:name w:val="列出段落1"/>
    <w:basedOn w:val="1"/>
    <w:qFormat/>
    <w:uiPriority w:val="99"/>
    <w:pPr>
      <w:ind w:firstLine="420" w:firstLineChars="200"/>
    </w:pPr>
  </w:style>
  <w:style w:type="paragraph" w:customStyle="1" w:styleId="64">
    <w:name w:val="报告表正文"/>
    <w:basedOn w:val="1"/>
    <w:qFormat/>
    <w:uiPriority w:val="0"/>
    <w:pPr>
      <w:spacing w:line="480" w:lineRule="atLeast"/>
      <w:ind w:firstLine="960" w:firstLineChars="200"/>
    </w:pPr>
    <w:rPr>
      <w:rFonts w:hint="eastAsia"/>
      <w:sz w:val="24"/>
    </w:rPr>
  </w:style>
  <w:style w:type="paragraph" w:customStyle="1" w:styleId="65">
    <w:name w:val="正文样式"/>
    <w:basedOn w:val="1"/>
    <w:qFormat/>
    <w:uiPriority w:val="0"/>
    <w:pPr>
      <w:spacing w:line="360" w:lineRule="auto"/>
      <w:ind w:firstLine="480" w:firstLineChars="200"/>
    </w:pPr>
    <w:rPr>
      <w:rFonts w:ascii="Times New Roman" w:hAnsi="Times New Roman"/>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84307-1E29-4EFE-8304-87D5AFC4DEE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2505</Words>
  <Characters>264</Characters>
  <Lines>2</Lines>
  <Paragraphs>5</Paragraphs>
  <TotalTime>16</TotalTime>
  <ScaleCrop>false</ScaleCrop>
  <LinksUpToDate>false</LinksUpToDate>
  <CharactersWithSpaces>2764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2021-05-27T09:11:00Z</dcterms:created>
  <dc:creator>admin</dc:creator>
  <cp:lastModifiedBy>松间明月</cp:lastModifiedBy>
  <dcterms:modified xsi:type="dcterms:W3CDTF">2022-01-05T02:26:22Z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98D847A5223F4488854511F167478F4E</vt:lpwstr>
  </property>
</Properties>
</file>