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生物质成型燃料加工项目</w:t>
      </w:r>
    </w:p>
    <w:p>
      <w:pPr>
        <w:jc w:val="center"/>
        <w:rPr>
          <w:b/>
          <w:bCs/>
          <w:sz w:val="36"/>
          <w:szCs w:val="36"/>
        </w:rPr>
      </w:pPr>
      <w:r>
        <w:rPr>
          <w:b/>
          <w:bCs/>
          <w:sz w:val="36"/>
          <w:szCs w:val="36"/>
        </w:rPr>
        <w:t>竣工环境保护验收意见</w:t>
      </w:r>
    </w:p>
    <w:p>
      <w:pPr>
        <w:ind w:firstLine="480" w:firstLineChars="200"/>
        <w:jc w:val="both"/>
      </w:pPr>
    </w:p>
    <w:p>
      <w:pPr>
        <w:ind w:firstLine="480" w:firstLineChars="200"/>
        <w:jc w:val="both"/>
        <w:rPr>
          <w:color w:val="000000"/>
        </w:rPr>
      </w:pPr>
      <w:r>
        <w:rPr>
          <w:rFonts w:hint="eastAsia"/>
          <w:color w:val="000000"/>
        </w:rPr>
        <w:t>2019年4月</w:t>
      </w:r>
      <w:r>
        <w:rPr>
          <w:rFonts w:hint="eastAsia"/>
        </w:rPr>
        <w:t>2</w:t>
      </w:r>
      <w:r>
        <w:rPr>
          <w:rFonts w:hint="eastAsia"/>
          <w:color w:val="000000"/>
        </w:rPr>
        <w:t>日，安陆涢达能源科技有限公司根据生物质成型燃料加工项目竣工环境保护验收监测报告并对照《建设项目竣工环境保护验收暂行办法》，严格依照国家有关法律法规、建设项目竣工环境保护验收技术规范指</w:t>
      </w:r>
      <w:r>
        <w:rPr>
          <w:color w:val="000000"/>
        </w:rPr>
        <w:t>南</w:t>
      </w:r>
      <w:r>
        <w:rPr>
          <w:rFonts w:hint="eastAsia"/>
          <w:color w:val="000000"/>
        </w:rPr>
        <w:t>、本项目环境影响报告书和审批部门审批决定等要求对本项目进行现场检查，提出意见如下：</w:t>
      </w:r>
    </w:p>
    <w:p>
      <w:pPr>
        <w:ind w:firstLine="482" w:firstLineChars="200"/>
        <w:jc w:val="both"/>
        <w:rPr>
          <w:b/>
          <w:bCs/>
        </w:rPr>
      </w:pPr>
      <w:r>
        <w:rPr>
          <w:rFonts w:hint="eastAsia"/>
          <w:b/>
          <w:bCs/>
        </w:rPr>
        <w:t>一、工程建设基本情况</w:t>
      </w:r>
    </w:p>
    <w:p>
      <w:pPr>
        <w:ind w:firstLine="482" w:firstLineChars="200"/>
        <w:jc w:val="both"/>
        <w:rPr>
          <w:b/>
          <w:bCs/>
        </w:rPr>
      </w:pPr>
      <w:r>
        <w:rPr>
          <w:rFonts w:hint="eastAsia"/>
          <w:b/>
          <w:bCs/>
        </w:rPr>
        <w:t>1、建设地点、规模、主要建设内容</w:t>
      </w:r>
    </w:p>
    <w:p>
      <w:pPr>
        <w:ind w:firstLine="480" w:firstLineChars="200"/>
        <w:jc w:val="both"/>
        <w:rPr>
          <w:color w:val="000000"/>
        </w:rPr>
      </w:pPr>
      <w:r>
        <w:rPr>
          <w:bCs/>
        </w:rPr>
        <w:t>项目位于</w:t>
      </w:r>
      <w:r>
        <w:rPr>
          <w:rFonts w:hint="eastAsia"/>
          <w:bCs/>
        </w:rPr>
        <w:t>安陆市</w:t>
      </w:r>
      <w:r>
        <w:rPr>
          <w:color w:val="000000"/>
          <w:szCs w:val="20"/>
        </w:rPr>
        <w:t>湖北德安府糖业有限公司厂区内</w:t>
      </w:r>
      <w:r>
        <w:rPr>
          <w:bCs/>
        </w:rPr>
        <w:t>，</w:t>
      </w:r>
      <w:r>
        <w:rPr>
          <w:rFonts w:hint="eastAsia"/>
          <w:bCs/>
        </w:rPr>
        <w:t>厂区</w:t>
      </w:r>
      <w:r>
        <w:rPr>
          <w:bCs/>
        </w:rPr>
        <w:t>东侧为</w:t>
      </w:r>
      <w:r>
        <w:rPr>
          <w:rFonts w:hint="eastAsia"/>
          <w:bCs/>
        </w:rPr>
        <w:t>涢水路</w:t>
      </w:r>
      <w:r>
        <w:rPr>
          <w:bCs/>
        </w:rPr>
        <w:t>；南侧为安陆市恒顺汽车维修中心；西侧为湖北禾丰粮油集团；北侧为德安新型建筑材料公司</w:t>
      </w:r>
      <w:r>
        <w:rPr>
          <w:color w:val="000000"/>
        </w:rPr>
        <w:t>。主要</w:t>
      </w:r>
      <w:r>
        <w:rPr>
          <w:rFonts w:hint="eastAsia"/>
          <w:color w:val="000000"/>
        </w:rPr>
        <w:t>建设</w:t>
      </w:r>
      <w:r>
        <w:rPr>
          <w:rFonts w:hint="eastAsia"/>
          <w:szCs w:val="20"/>
        </w:rPr>
        <w:t>生产厂房、原料仓库、配套公用设施、环保工程等</w:t>
      </w:r>
      <w:r>
        <w:rPr>
          <w:color w:val="000000"/>
        </w:rPr>
        <w:t>。</w:t>
      </w:r>
      <w:r>
        <w:rPr>
          <w:rFonts w:hint="eastAsia"/>
          <w:color w:val="000000"/>
        </w:rPr>
        <w:t>项目建成后</w:t>
      </w:r>
      <w:r>
        <w:rPr>
          <w:rFonts w:hint="eastAsia"/>
        </w:rPr>
        <w:t>年产生物质成型燃料颗粒3万吨</w:t>
      </w:r>
      <w:r>
        <w:rPr>
          <w:rFonts w:hint="eastAsia"/>
          <w:color w:val="000000"/>
        </w:rPr>
        <w:t>。</w:t>
      </w:r>
    </w:p>
    <w:p>
      <w:pPr>
        <w:ind w:firstLine="482" w:firstLineChars="200"/>
        <w:jc w:val="both"/>
        <w:rPr>
          <w:b/>
          <w:bCs/>
        </w:rPr>
      </w:pPr>
      <w:r>
        <w:rPr>
          <w:rFonts w:hint="eastAsia"/>
          <w:b/>
          <w:bCs/>
        </w:rPr>
        <w:t>2、建设过程及环保审批情况</w:t>
      </w:r>
    </w:p>
    <w:p>
      <w:pPr>
        <w:ind w:firstLine="480" w:firstLineChars="200"/>
        <w:jc w:val="both"/>
        <w:rPr>
          <w:bCs/>
          <w:snapToGrid w:val="0"/>
          <w:kern w:val="0"/>
        </w:rPr>
      </w:pPr>
      <w:r>
        <w:rPr>
          <w:rFonts w:hint="eastAsia"/>
          <w:color w:val="000000"/>
        </w:rPr>
        <w:t>2018年4月</w:t>
      </w:r>
      <w:r>
        <w:rPr>
          <w:szCs w:val="20"/>
        </w:rPr>
        <w:t>安陆</w:t>
      </w:r>
      <w:r>
        <w:rPr>
          <w:rFonts w:hint="eastAsia"/>
          <w:szCs w:val="20"/>
        </w:rPr>
        <w:t>涢达</w:t>
      </w:r>
      <w:r>
        <w:rPr>
          <w:color w:val="000000"/>
          <w:szCs w:val="20"/>
        </w:rPr>
        <w:t>能源</w:t>
      </w:r>
      <w:r>
        <w:rPr>
          <w:rFonts w:hint="eastAsia"/>
          <w:color w:val="000000"/>
          <w:szCs w:val="20"/>
        </w:rPr>
        <w:t>科技</w:t>
      </w:r>
      <w:r>
        <w:rPr>
          <w:color w:val="000000"/>
          <w:szCs w:val="20"/>
        </w:rPr>
        <w:t>有限公司委托江苏科易达环保科技有限公司进行《</w:t>
      </w:r>
      <w:r>
        <w:rPr>
          <w:szCs w:val="20"/>
        </w:rPr>
        <w:t>安陆</w:t>
      </w:r>
      <w:r>
        <w:rPr>
          <w:rFonts w:hint="eastAsia"/>
          <w:szCs w:val="20"/>
        </w:rPr>
        <w:t>涢达</w:t>
      </w:r>
      <w:r>
        <w:rPr>
          <w:color w:val="000000"/>
          <w:szCs w:val="20"/>
        </w:rPr>
        <w:t>能源</w:t>
      </w:r>
      <w:r>
        <w:rPr>
          <w:rFonts w:hint="eastAsia"/>
          <w:color w:val="000000"/>
          <w:szCs w:val="20"/>
        </w:rPr>
        <w:t>科技</w:t>
      </w:r>
      <w:r>
        <w:rPr>
          <w:color w:val="000000"/>
          <w:szCs w:val="20"/>
        </w:rPr>
        <w:t>有限公司</w:t>
      </w:r>
      <w:r>
        <w:t>生物质成型燃料加工项目</w:t>
      </w:r>
      <w:r>
        <w:rPr>
          <w:color w:val="000000"/>
          <w:szCs w:val="20"/>
        </w:rPr>
        <w:t>环境影响报告表》的编制工作</w:t>
      </w:r>
      <w:r>
        <w:rPr>
          <w:rFonts w:hint="eastAsia"/>
          <w:color w:val="000000"/>
          <w:szCs w:val="20"/>
        </w:rPr>
        <w:t>。2018年10月25号，安陆市环境保护局以安环建函[2018]68号</w:t>
      </w:r>
      <w:r>
        <w:t>文批复了该项目环境影响报告表</w:t>
      </w:r>
      <w:r>
        <w:rPr>
          <w:color w:val="000000"/>
        </w:rPr>
        <w:t>。</w:t>
      </w:r>
      <w:r>
        <w:rPr>
          <w:bCs/>
          <w:snapToGrid w:val="0"/>
          <w:kern w:val="0"/>
        </w:rPr>
        <w:t>项目于201</w:t>
      </w:r>
      <w:r>
        <w:rPr>
          <w:rFonts w:hint="eastAsia"/>
          <w:bCs/>
          <w:snapToGrid w:val="0"/>
          <w:kern w:val="0"/>
        </w:rPr>
        <w:t>8</w:t>
      </w:r>
      <w:r>
        <w:rPr>
          <w:bCs/>
          <w:snapToGrid w:val="0"/>
          <w:kern w:val="0"/>
        </w:rPr>
        <w:t>年1</w:t>
      </w:r>
      <w:r>
        <w:rPr>
          <w:rFonts w:hint="eastAsia"/>
          <w:bCs/>
          <w:snapToGrid w:val="0"/>
          <w:kern w:val="0"/>
        </w:rPr>
        <w:t>0</w:t>
      </w:r>
      <w:r>
        <w:rPr>
          <w:bCs/>
          <w:snapToGrid w:val="0"/>
          <w:kern w:val="0"/>
        </w:rPr>
        <w:t>月开工建设，201</w:t>
      </w:r>
      <w:r>
        <w:rPr>
          <w:rFonts w:hint="eastAsia"/>
          <w:bCs/>
          <w:snapToGrid w:val="0"/>
          <w:kern w:val="0"/>
        </w:rPr>
        <w:t>8</w:t>
      </w:r>
      <w:r>
        <w:rPr>
          <w:bCs/>
          <w:snapToGrid w:val="0"/>
          <w:kern w:val="0"/>
        </w:rPr>
        <w:t>年</w:t>
      </w:r>
      <w:r>
        <w:rPr>
          <w:rFonts w:hint="eastAsia"/>
          <w:bCs/>
          <w:snapToGrid w:val="0"/>
          <w:kern w:val="0"/>
        </w:rPr>
        <w:t>12</w:t>
      </w:r>
      <w:r>
        <w:rPr>
          <w:bCs/>
          <w:snapToGrid w:val="0"/>
          <w:kern w:val="0"/>
        </w:rPr>
        <w:t>月建设完成进入调试阶段</w:t>
      </w:r>
    </w:p>
    <w:p>
      <w:pPr>
        <w:ind w:firstLine="482" w:firstLineChars="200"/>
        <w:jc w:val="both"/>
        <w:rPr>
          <w:b/>
          <w:bCs/>
        </w:rPr>
      </w:pPr>
      <w:r>
        <w:rPr>
          <w:rFonts w:hint="eastAsia"/>
          <w:b/>
          <w:bCs/>
        </w:rPr>
        <w:t>3、投资情况</w:t>
      </w:r>
    </w:p>
    <w:p>
      <w:pPr>
        <w:ind w:firstLine="480" w:firstLineChars="200"/>
        <w:jc w:val="both"/>
      </w:pPr>
      <w:r>
        <w:t>项目实际总投资</w:t>
      </w:r>
      <w:r>
        <w:rPr>
          <w:rFonts w:hint="eastAsia"/>
        </w:rPr>
        <w:t>400</w:t>
      </w:r>
      <w:r>
        <w:t>万元，其中环保总投资</w:t>
      </w:r>
      <w:r>
        <w:rPr>
          <w:rFonts w:hint="eastAsia"/>
        </w:rPr>
        <w:t>10.5</w:t>
      </w:r>
      <w:r>
        <w:t>万元，占总投资的</w:t>
      </w:r>
      <w:r>
        <w:rPr>
          <w:rFonts w:hint="eastAsia"/>
        </w:rPr>
        <w:t>3</w:t>
      </w:r>
      <w:r>
        <w:t>%。</w:t>
      </w:r>
    </w:p>
    <w:p>
      <w:pPr>
        <w:ind w:firstLine="482" w:firstLineChars="200"/>
        <w:jc w:val="both"/>
        <w:rPr>
          <w:b/>
          <w:bCs/>
        </w:rPr>
      </w:pPr>
      <w:r>
        <w:rPr>
          <w:b/>
          <w:bCs/>
        </w:rPr>
        <w:t>4</w:t>
      </w:r>
      <w:r>
        <w:rPr>
          <w:rFonts w:hint="eastAsia"/>
          <w:b/>
          <w:bCs/>
        </w:rPr>
        <w:t>、项目变更情况</w:t>
      </w:r>
    </w:p>
    <w:p>
      <w:pPr>
        <w:pStyle w:val="2"/>
        <w:ind w:firstLine="480"/>
        <w:jc w:val="left"/>
        <w:rPr>
          <w:rFonts w:hint="eastAsia"/>
        </w:rPr>
      </w:pPr>
      <w:r>
        <w:rPr>
          <w:rFonts w:hint="eastAsia"/>
        </w:rPr>
        <w:t>项目环评及批复均未提出粉尘收集和处理措施，实际建设粉尘收集和布袋处理设施，强化了环评对粉尘控制措施的要求。</w:t>
      </w:r>
    </w:p>
    <w:p>
      <w:pPr>
        <w:ind w:firstLine="482" w:firstLineChars="200"/>
        <w:jc w:val="both"/>
        <w:rPr>
          <w:b/>
          <w:bCs/>
        </w:rPr>
      </w:pPr>
      <w:r>
        <w:rPr>
          <w:rFonts w:hint="eastAsia"/>
          <w:b/>
          <w:bCs/>
        </w:rPr>
        <w:t>二、环境保护设施建设情况</w:t>
      </w:r>
    </w:p>
    <w:p>
      <w:pPr>
        <w:ind w:firstLine="482" w:firstLineChars="200"/>
        <w:jc w:val="both"/>
        <w:rPr>
          <w:b/>
          <w:bCs/>
        </w:rPr>
      </w:pPr>
      <w:r>
        <w:rPr>
          <w:rFonts w:hint="eastAsia"/>
          <w:b/>
          <w:bCs/>
        </w:rPr>
        <w:t>1、废气</w:t>
      </w:r>
    </w:p>
    <w:p>
      <w:pPr>
        <w:pStyle w:val="2"/>
        <w:jc w:val="left"/>
        <w:rPr>
          <w:rFonts w:hint="eastAsia"/>
        </w:rPr>
      </w:pPr>
      <w:r>
        <w:rPr>
          <w:rFonts w:hint="eastAsia"/>
        </w:rPr>
        <w:t xml:space="preserve"> </w:t>
      </w:r>
      <w:r>
        <w:t xml:space="preserve">   </w:t>
      </w:r>
      <w:r>
        <w:rPr>
          <w:rFonts w:hint="eastAsia"/>
        </w:rPr>
        <w:t>项目颗粒机粉尘和颗粒料冷却粉尘收集后采取布袋除尘器处理后于车间排放；</w:t>
      </w:r>
    </w:p>
    <w:p>
      <w:pPr>
        <w:ind w:firstLine="482" w:firstLineChars="200"/>
        <w:jc w:val="both"/>
        <w:rPr>
          <w:b/>
          <w:bCs/>
        </w:rPr>
      </w:pPr>
      <w:r>
        <w:rPr>
          <w:rFonts w:hint="eastAsia"/>
          <w:b/>
          <w:bCs/>
        </w:rPr>
        <w:t>2、废水</w:t>
      </w:r>
    </w:p>
    <w:p>
      <w:pPr>
        <w:ind w:firstLine="480" w:firstLineChars="200"/>
        <w:jc w:val="both"/>
      </w:pPr>
      <w:r>
        <w:rPr>
          <w:rFonts w:hint="eastAsia"/>
        </w:rPr>
        <w:t>办公生活污水依托德安府糖业厂区的化粪池处理后经市政管网进入安陆市污水处理厂，尾水排入府河。</w:t>
      </w:r>
    </w:p>
    <w:p>
      <w:pPr>
        <w:ind w:firstLine="482" w:firstLineChars="200"/>
        <w:jc w:val="both"/>
        <w:rPr>
          <w:b/>
          <w:bCs/>
        </w:rPr>
      </w:pPr>
      <w:r>
        <w:rPr>
          <w:b/>
          <w:bCs/>
        </w:rPr>
        <w:t>3</w:t>
      </w:r>
      <w:r>
        <w:rPr>
          <w:rFonts w:hint="eastAsia"/>
          <w:b/>
          <w:bCs/>
        </w:rPr>
        <w:t>、固体废物</w:t>
      </w:r>
    </w:p>
    <w:p>
      <w:pPr>
        <w:pStyle w:val="2"/>
        <w:jc w:val="left"/>
      </w:pPr>
      <w:r>
        <w:rPr>
          <w:rFonts w:hint="eastAsia"/>
        </w:rPr>
        <w:t xml:space="preserve"> </w:t>
      </w:r>
      <w:r>
        <w:t xml:space="preserve">   </w:t>
      </w:r>
      <w:r>
        <w:rPr>
          <w:rFonts w:hint="eastAsia"/>
        </w:rPr>
        <w:t>办公生活垃圾通过垃圾桶收集，交由市政环卫部门处理</w:t>
      </w:r>
      <w:r>
        <w:t>。</w:t>
      </w:r>
    </w:p>
    <w:p>
      <w:pPr>
        <w:ind w:firstLine="482" w:firstLineChars="200"/>
        <w:jc w:val="both"/>
        <w:rPr>
          <w:b/>
          <w:bCs/>
        </w:rPr>
      </w:pPr>
      <w:r>
        <w:rPr>
          <w:b/>
          <w:bCs/>
        </w:rPr>
        <w:t>4</w:t>
      </w:r>
      <w:r>
        <w:rPr>
          <w:rFonts w:hint="eastAsia"/>
          <w:b/>
          <w:bCs/>
        </w:rPr>
        <w:t>、环境制度管理</w:t>
      </w:r>
    </w:p>
    <w:p>
      <w:pPr>
        <w:adjustRightInd w:val="0"/>
        <w:snapToGrid w:val="0"/>
        <w:ind w:firstLine="480" w:firstLineChars="200"/>
        <w:rPr>
          <w:bCs/>
          <w:color w:val="000000"/>
          <w:kern w:val="0"/>
        </w:rPr>
      </w:pPr>
      <w:r>
        <w:rPr>
          <w:bCs/>
        </w:rPr>
        <w:t>项目安排有</w:t>
      </w:r>
      <w:r>
        <w:rPr>
          <w:rFonts w:hint="eastAsia"/>
          <w:bCs/>
        </w:rPr>
        <w:t>一名环保兼职</w:t>
      </w:r>
      <w:r>
        <w:rPr>
          <w:bCs/>
        </w:rPr>
        <w:t>人员，环保责任制明确，实施环境保护与各类设备的统一管理。定期对员工进行环境教育和环保技术培训，</w:t>
      </w:r>
      <w:r>
        <w:rPr>
          <w:bCs/>
          <w:color w:val="000000"/>
          <w:kern w:val="0"/>
        </w:rPr>
        <w:t>满足环保管理的基本要求。</w:t>
      </w:r>
      <w:r>
        <w:rPr>
          <w:bCs/>
        </w:rPr>
        <w:t>项目建立了较为完善的环保档案管理制度，</w:t>
      </w:r>
      <w:r>
        <w:rPr>
          <w:rFonts w:hint="eastAsia"/>
          <w:bCs/>
        </w:rPr>
        <w:t>制定了详细的环境保护管理规章制度。</w:t>
      </w:r>
    </w:p>
    <w:p>
      <w:pPr>
        <w:jc w:val="both"/>
        <w:rPr>
          <w:b/>
          <w:bCs/>
        </w:rPr>
      </w:pPr>
      <w:r>
        <w:rPr>
          <w:rFonts w:hint="eastAsia"/>
          <w:b/>
          <w:bCs/>
        </w:rPr>
        <w:t>四、环境保护设施调试效果</w:t>
      </w:r>
    </w:p>
    <w:p>
      <w:pPr>
        <w:ind w:firstLine="482" w:firstLineChars="200"/>
        <w:jc w:val="both"/>
        <w:rPr>
          <w:b/>
          <w:bCs/>
        </w:rPr>
      </w:pPr>
      <w:r>
        <w:rPr>
          <w:rFonts w:hint="eastAsia"/>
          <w:b/>
          <w:bCs/>
        </w:rPr>
        <w:t>1、废水</w:t>
      </w:r>
    </w:p>
    <w:p>
      <w:pPr>
        <w:tabs>
          <w:tab w:val="left" w:pos="2497"/>
        </w:tabs>
        <w:adjustRightInd w:val="0"/>
        <w:snapToGrid w:val="0"/>
        <w:ind w:firstLine="480" w:firstLineChars="200"/>
        <w:jc w:val="both"/>
      </w:pPr>
      <w:r>
        <w:t>本次监测，</w:t>
      </w:r>
      <w:r>
        <w:rPr>
          <w:rFonts w:hint="eastAsia"/>
        </w:rPr>
        <w:t>总排口</w:t>
      </w:r>
      <w:r>
        <w:t>废水中pH值范围为7.2</w:t>
      </w:r>
      <w:r>
        <w:rPr>
          <w:rFonts w:hint="eastAsia"/>
        </w:rPr>
        <w:t>4</w:t>
      </w:r>
      <w:r>
        <w:t>~7.3</w:t>
      </w:r>
      <w:r>
        <w:rPr>
          <w:rFonts w:hint="eastAsia"/>
        </w:rPr>
        <w:t>6</w:t>
      </w:r>
      <w:r>
        <w:t>、化学需氧量最大日均值为</w:t>
      </w:r>
      <w:r>
        <w:rPr>
          <w:rFonts w:hint="eastAsia"/>
        </w:rPr>
        <w:t>191</w:t>
      </w:r>
      <w:r>
        <w:t>mg/L、五日生化需氧量最大日均值为</w:t>
      </w:r>
      <w:r>
        <w:rPr>
          <w:rFonts w:hint="eastAsia"/>
        </w:rPr>
        <w:t>67.8</w:t>
      </w:r>
      <w:r>
        <w:t>mg/L、悬浮物最大日均值为</w:t>
      </w:r>
      <w:r>
        <w:rPr>
          <w:rFonts w:hint="eastAsia"/>
        </w:rPr>
        <w:t>55</w:t>
      </w:r>
      <w:r>
        <w:t>mg/L，监测结果均符合《污水综合排放标准》（GB 8978-1996）表4</w:t>
      </w:r>
      <w:r>
        <w:rPr>
          <w:rFonts w:hint="eastAsia"/>
        </w:rPr>
        <w:t>三</w:t>
      </w:r>
      <w:r>
        <w:t>级标准限值要求</w:t>
      </w:r>
      <w:r>
        <w:rPr>
          <w:rFonts w:hint="eastAsia"/>
        </w:rPr>
        <w:t>。</w:t>
      </w:r>
      <w:r>
        <w:t>氨氮最大日均值为</w:t>
      </w:r>
      <w:r>
        <w:rPr>
          <w:rFonts w:hint="eastAsia"/>
        </w:rPr>
        <w:t>0.678</w:t>
      </w:r>
      <w:r>
        <w:t>mg/</w:t>
      </w:r>
      <w:r>
        <w:rPr>
          <w:rFonts w:hint="eastAsia"/>
        </w:rPr>
        <w:t>L</w:t>
      </w:r>
      <w:r>
        <w:t>。</w:t>
      </w:r>
    </w:p>
    <w:p>
      <w:pPr>
        <w:ind w:firstLine="482" w:firstLineChars="200"/>
        <w:jc w:val="both"/>
        <w:rPr>
          <w:b/>
          <w:bCs/>
        </w:rPr>
      </w:pPr>
      <w:r>
        <w:rPr>
          <w:rFonts w:hint="eastAsia"/>
          <w:b/>
          <w:bCs/>
        </w:rPr>
        <w:t>2、废</w:t>
      </w:r>
      <w:r>
        <w:rPr>
          <w:b/>
          <w:bCs/>
        </w:rPr>
        <w:t>气</w:t>
      </w:r>
    </w:p>
    <w:p>
      <w:pPr>
        <w:tabs>
          <w:tab w:val="left" w:pos="2497"/>
        </w:tabs>
        <w:adjustRightInd w:val="0"/>
        <w:snapToGrid w:val="0"/>
        <w:ind w:firstLine="480" w:firstLineChars="200"/>
        <w:jc w:val="both"/>
      </w:pPr>
      <w:r>
        <w:t>本次监测，无组织废气中</w:t>
      </w:r>
      <w:r>
        <w:rPr>
          <w:rFonts w:hint="eastAsia"/>
        </w:rPr>
        <w:t xml:space="preserve">颗粒物最大值0.526 </w:t>
      </w:r>
      <w:r>
        <w:t>mg/m</w:t>
      </w:r>
      <w:r>
        <w:rPr>
          <w:vertAlign w:val="superscript"/>
        </w:rPr>
        <w:t>3</w:t>
      </w:r>
      <w:r>
        <w:rPr>
          <w:rFonts w:hint="eastAsia"/>
        </w:rPr>
        <w:t>，</w:t>
      </w:r>
      <w:r>
        <w:t>符合《大气污染物综合排放标准》（GB 16297-1996）</w:t>
      </w:r>
      <w:r>
        <w:rPr>
          <w:rFonts w:hint="eastAsia"/>
        </w:rPr>
        <w:t>无组织监控浓度</w:t>
      </w:r>
      <w:r>
        <w:t>标准</w:t>
      </w:r>
      <w:r>
        <w:rPr>
          <w:rFonts w:hint="eastAsia"/>
        </w:rPr>
        <w:t>限值</w:t>
      </w:r>
      <w:r>
        <w:rPr>
          <w:rFonts w:hint="eastAsia"/>
          <w:kern w:val="0"/>
        </w:rPr>
        <w:t>。</w:t>
      </w:r>
    </w:p>
    <w:p>
      <w:pPr>
        <w:ind w:firstLine="482" w:firstLineChars="200"/>
        <w:jc w:val="both"/>
        <w:rPr>
          <w:b/>
          <w:bCs/>
        </w:rPr>
      </w:pPr>
      <w:r>
        <w:rPr>
          <w:rFonts w:hint="eastAsia"/>
          <w:b/>
          <w:bCs/>
        </w:rPr>
        <w:t>3、噪声</w:t>
      </w:r>
    </w:p>
    <w:p>
      <w:pPr>
        <w:pStyle w:val="10"/>
        <w:ind w:firstLine="480" w:firstLineChars="200"/>
      </w:pPr>
      <w:r>
        <w:t>本次监测，该项目厂界东、南、西、北侧噪声昼间为</w:t>
      </w:r>
      <w:r>
        <w:rPr>
          <w:rFonts w:hint="eastAsia"/>
        </w:rPr>
        <w:t>54.8</w:t>
      </w:r>
      <w:r>
        <w:t>dB(A)~</w:t>
      </w:r>
      <w:r>
        <w:rPr>
          <w:rFonts w:hint="eastAsia"/>
        </w:rPr>
        <w:t>59.3</w:t>
      </w:r>
      <w:r>
        <w:t>dB(A)、夜间为</w:t>
      </w:r>
      <w:r>
        <w:rPr>
          <w:rFonts w:hint="eastAsia"/>
        </w:rPr>
        <w:t>49.9</w:t>
      </w:r>
      <w:r>
        <w:t>dB(A)~</w:t>
      </w:r>
      <w:r>
        <w:rPr>
          <w:rFonts w:hint="eastAsia"/>
        </w:rPr>
        <w:t>53.7</w:t>
      </w:r>
      <w:r>
        <w:t>dB(A)，监测结果均符合</w:t>
      </w:r>
      <w:r>
        <w:rPr>
          <w:lang w:bidi="ar"/>
        </w:rPr>
        <w:t>《工业企业厂界环境噪声排放标准》（GB 12348-2008)3类标准限值要求</w:t>
      </w:r>
      <w:r>
        <w:rPr>
          <w:rFonts w:hint="eastAsia"/>
          <w:lang w:bidi="ar"/>
        </w:rPr>
        <w:t>。</w:t>
      </w:r>
    </w:p>
    <w:p>
      <w:pPr>
        <w:numPr>
          <w:ilvl w:val="0"/>
          <w:numId w:val="2"/>
        </w:numPr>
        <w:ind w:firstLine="482" w:firstLineChars="200"/>
        <w:jc w:val="both"/>
        <w:rPr>
          <w:b/>
          <w:bCs/>
        </w:rPr>
      </w:pPr>
      <w:r>
        <w:rPr>
          <w:rFonts w:hint="eastAsia"/>
          <w:b/>
          <w:bCs/>
        </w:rPr>
        <w:t>污染物排放总量</w:t>
      </w:r>
    </w:p>
    <w:p>
      <w:pPr>
        <w:ind w:firstLine="480" w:firstLineChars="200"/>
        <w:jc w:val="both"/>
        <w:rPr>
          <w:b/>
          <w:bCs/>
        </w:rPr>
      </w:pPr>
      <w:r>
        <w:rPr>
          <w:rFonts w:hint="eastAsia"/>
          <w:bCs/>
        </w:rPr>
        <w:t>项目COD排放量为0.0298t/a、NH</w:t>
      </w:r>
      <w:r>
        <w:rPr>
          <w:rFonts w:hint="eastAsia"/>
          <w:bCs/>
          <w:vertAlign w:val="subscript"/>
        </w:rPr>
        <w:t>3</w:t>
      </w:r>
      <w:r>
        <w:rPr>
          <w:rFonts w:hint="eastAsia"/>
          <w:bCs/>
        </w:rPr>
        <w:t>-N排放量为1.1</w:t>
      </w:r>
      <w:r>
        <w:rPr>
          <w:rFonts w:hint="eastAsia"/>
        </w:rPr>
        <w:t>×10</w:t>
      </w:r>
      <w:r>
        <w:rPr>
          <w:rFonts w:hint="eastAsia"/>
          <w:vertAlign w:val="superscript"/>
        </w:rPr>
        <w:t>-4</w:t>
      </w:r>
      <w:r>
        <w:rPr>
          <w:rFonts w:hint="eastAsia"/>
          <w:bCs/>
        </w:rPr>
        <w:t>t/a</w:t>
      </w:r>
      <w:r>
        <w:rPr>
          <w:rFonts w:hint="eastAsia"/>
          <w:color w:val="000000"/>
        </w:rPr>
        <w:t>满足环评中</w:t>
      </w:r>
      <w:r>
        <w:rPr>
          <w:rFonts w:eastAsia="Times New Roman"/>
          <w:spacing w:val="-5"/>
        </w:rPr>
        <w:t>COD</w:t>
      </w:r>
      <w:r>
        <w:rPr>
          <w:spacing w:val="-5"/>
        </w:rPr>
        <w:t>：</w:t>
      </w:r>
      <w:r>
        <w:rPr>
          <w:rFonts w:eastAsia="Times New Roman"/>
          <w:position w:val="1"/>
        </w:rPr>
        <w:t>0.0</w:t>
      </w:r>
      <w:r>
        <w:rPr>
          <w:rFonts w:hint="eastAsia"/>
          <w:position w:val="1"/>
        </w:rPr>
        <w:t>3072</w:t>
      </w:r>
      <w:r>
        <w:rPr>
          <w:rFonts w:eastAsia="Times New Roman"/>
          <w:position w:val="1"/>
        </w:rPr>
        <w:t>t/a</w:t>
      </w:r>
      <w:r>
        <w:rPr>
          <w:spacing w:val="-8"/>
          <w:position w:val="1"/>
        </w:rPr>
        <w:t>、</w:t>
      </w:r>
      <w:r>
        <w:rPr>
          <w:rFonts w:eastAsia="Times New Roman"/>
          <w:position w:val="1"/>
        </w:rPr>
        <w:t>NH</w:t>
      </w:r>
      <w:r>
        <w:rPr>
          <w:rFonts w:eastAsia="Times New Roman"/>
          <w:vertAlign w:val="subscript"/>
        </w:rPr>
        <w:t>3</w:t>
      </w:r>
      <w:r>
        <w:rPr>
          <w:rFonts w:eastAsia="Times New Roman"/>
          <w:position w:val="1"/>
        </w:rPr>
        <w:t>-N</w:t>
      </w:r>
      <w:r>
        <w:rPr>
          <w:position w:val="1"/>
        </w:rPr>
        <w:t>：</w:t>
      </w:r>
      <w:r>
        <w:rPr>
          <w:rFonts w:eastAsia="Times New Roman"/>
          <w:position w:val="1"/>
        </w:rPr>
        <w:t>0.003</w:t>
      </w:r>
      <w:r>
        <w:rPr>
          <w:rFonts w:hint="eastAsia"/>
          <w:position w:val="1"/>
        </w:rPr>
        <w:t>3</w:t>
      </w:r>
      <w:r>
        <w:rPr>
          <w:rFonts w:eastAsia="Times New Roman"/>
          <w:position w:val="1"/>
        </w:rPr>
        <w:t>t/a</w:t>
      </w:r>
      <w:r>
        <w:rPr>
          <w:rFonts w:hint="eastAsia"/>
          <w:position w:val="1"/>
        </w:rPr>
        <w:t>的要求。</w:t>
      </w:r>
    </w:p>
    <w:p>
      <w:pPr>
        <w:jc w:val="both"/>
        <w:rPr>
          <w:b/>
          <w:bCs/>
        </w:rPr>
      </w:pPr>
      <w:r>
        <w:rPr>
          <w:rFonts w:hint="eastAsia"/>
          <w:b/>
          <w:bCs/>
        </w:rPr>
        <w:t>五</w:t>
      </w:r>
      <w:r>
        <w:rPr>
          <w:b/>
          <w:bCs/>
        </w:rPr>
        <w:t>、验收结论</w:t>
      </w:r>
    </w:p>
    <w:p>
      <w:pPr>
        <w:ind w:firstLine="480" w:firstLineChars="200"/>
        <w:jc w:val="both"/>
      </w:pPr>
      <w:r>
        <w:t>安陆</w:t>
      </w:r>
      <w:r>
        <w:rPr>
          <w:rFonts w:hint="eastAsia"/>
        </w:rPr>
        <w:t>涢达</w:t>
      </w:r>
      <w:r>
        <w:t>能源</w:t>
      </w:r>
      <w:r>
        <w:rPr>
          <w:rFonts w:hint="eastAsia"/>
        </w:rPr>
        <w:t>科技</w:t>
      </w:r>
      <w:r>
        <w:t>有限</w:t>
      </w:r>
      <w:r>
        <w:rPr>
          <w:rFonts w:hint="eastAsia"/>
        </w:rPr>
        <w:t>公司</w:t>
      </w:r>
      <w:r>
        <w:rPr>
          <w:rFonts w:hint="eastAsia"/>
          <w:color w:val="000000"/>
        </w:rPr>
        <w:t>“</w:t>
      </w:r>
      <w:r>
        <w:t>生物质成型燃料加工项目</w:t>
      </w:r>
      <w:r>
        <w:rPr>
          <w:rFonts w:hint="eastAsia"/>
        </w:rPr>
        <w:t>”</w:t>
      </w:r>
      <w:r>
        <w:t>环境保护手续齐全，落实了环评及批复中规定的各项环保措施，竣工验收监测条件符合《建设项目竣工环境保护验收管理办法》的相关规定，主要污染物实现了达标排放。</w:t>
      </w:r>
      <w:r>
        <w:rPr>
          <w:rFonts w:hint="eastAsia"/>
        </w:rPr>
        <w:t>项目具备竣工环境保护验收合格条件，可以按程序予以公示。</w:t>
      </w:r>
    </w:p>
    <w:p>
      <w:pPr>
        <w:rPr>
          <w:b/>
          <w:bCs/>
        </w:rPr>
      </w:pPr>
      <w:r>
        <w:rPr>
          <w:rFonts w:hint="eastAsia"/>
          <w:b/>
          <w:bCs/>
        </w:rPr>
        <w:t>六、建议</w:t>
      </w:r>
    </w:p>
    <w:p>
      <w:pPr>
        <w:pStyle w:val="2"/>
        <w:jc w:val="left"/>
        <w:rPr>
          <w:rFonts w:hint="eastAsia"/>
        </w:rPr>
      </w:pPr>
      <w:r>
        <w:rPr>
          <w:rFonts w:hint="eastAsia"/>
        </w:rPr>
        <w:t xml:space="preserve"> </w:t>
      </w:r>
      <w:r>
        <w:t xml:space="preserve">  </w:t>
      </w:r>
      <w:r>
        <w:rPr>
          <w:rFonts w:hint="eastAsia"/>
        </w:rPr>
        <w:t>进一步优化粉尘处理工艺，建议采用脉冲布袋除尘器，处理后的含尘废气于车间顶排放。</w:t>
      </w:r>
    </w:p>
    <w:p>
      <w:pPr>
        <w:rPr>
          <w:b/>
          <w:bCs/>
        </w:rPr>
      </w:pPr>
      <w:r>
        <w:rPr>
          <w:b/>
          <w:bCs/>
        </w:rPr>
        <w:t>七、验收人员信息</w:t>
      </w:r>
    </w:p>
    <w:p>
      <w:pPr>
        <w:pStyle w:val="5"/>
        <w:ind w:firstLine="480"/>
      </w:pPr>
      <w:r>
        <w:t>验收工作组成员名单及信息附后。</w:t>
      </w:r>
    </w:p>
    <w:p>
      <w:pPr>
        <w:pStyle w:val="5"/>
        <w:ind w:firstLine="480"/>
      </w:pPr>
    </w:p>
    <w:p>
      <w:pPr>
        <w:pStyle w:val="5"/>
        <w:ind w:firstLine="5662" w:firstLineChars="2350"/>
        <w:jc w:val="right"/>
        <w:rPr>
          <w:b/>
          <w:bCs/>
        </w:rPr>
      </w:pPr>
    </w:p>
    <w:p>
      <w:pPr>
        <w:pStyle w:val="5"/>
        <w:ind w:firstLine="5662" w:firstLineChars="2350"/>
        <w:jc w:val="center"/>
        <w:rPr>
          <w:b/>
          <w:bCs/>
        </w:rPr>
      </w:pPr>
      <w:r>
        <w:rPr>
          <w:b/>
          <w:bCs/>
        </w:rPr>
        <w:t>验收工作组</w:t>
      </w:r>
    </w:p>
    <w:p>
      <w:pPr>
        <w:pStyle w:val="5"/>
        <w:ind w:firstLine="5662" w:firstLineChars="2350"/>
        <w:jc w:val="center"/>
        <w:rPr>
          <w:b/>
        </w:rPr>
        <w:sectPr>
          <w:pgSz w:w="11906" w:h="16838"/>
          <w:pgMar w:top="1440" w:right="1800" w:bottom="1440" w:left="1800" w:header="851" w:footer="992" w:gutter="0"/>
          <w:cols w:space="720" w:num="1"/>
          <w:docGrid w:type="lines" w:linePitch="312" w:charSpace="0"/>
        </w:sectPr>
      </w:pPr>
      <w:r>
        <w:rPr>
          <w:b/>
        </w:rPr>
        <w:t xml:space="preserve"> 201</w:t>
      </w:r>
      <w:r>
        <w:rPr>
          <w:rFonts w:hint="eastAsia"/>
          <w:b/>
        </w:rPr>
        <w:t>9</w:t>
      </w:r>
      <w:r>
        <w:rPr>
          <w:b/>
        </w:rPr>
        <w:t>年</w:t>
      </w:r>
      <w:r>
        <w:rPr>
          <w:rFonts w:hint="eastAsia"/>
          <w:b/>
        </w:rPr>
        <w:t>4</w:t>
      </w:r>
      <w:r>
        <w:rPr>
          <w:b/>
        </w:rPr>
        <w:t>月</w:t>
      </w:r>
      <w:r>
        <w:rPr>
          <w:rFonts w:hint="eastAsia"/>
          <w:b/>
        </w:rPr>
        <w:t>2</w:t>
      </w:r>
    </w:p>
    <w:p>
      <w:pPr>
        <w:rPr>
          <w:rFonts w:hint="eastAsia" w:eastAsia="宋体"/>
          <w:b/>
          <w:bCs/>
          <w:lang w:eastAsia="zh-CN"/>
        </w:rPr>
      </w:pPr>
      <w:r>
        <w:rPr>
          <w:rFonts w:hint="eastAsia"/>
          <w:b/>
          <w:bCs/>
        </w:rPr>
        <w:t>附件</w:t>
      </w:r>
      <w:r>
        <w:rPr>
          <w:rFonts w:hint="eastAsia" w:eastAsia="宋体"/>
          <w:b/>
          <w:bCs/>
          <w:lang w:eastAsia="zh-CN"/>
        </w:rPr>
        <w:drawing>
          <wp:inline distT="0" distB="0" distL="114300" distR="114300">
            <wp:extent cx="5267960" cy="7450455"/>
            <wp:effectExtent l="0" t="0" r="8890" b="17145"/>
            <wp:docPr id="1" name="图片 1" descr="SKM_C754e19040313220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C754e19040313220_0005"/>
                    <pic:cNvPicPr>
                      <a:picLocks noChangeAspect="1"/>
                    </pic:cNvPicPr>
                  </pic:nvPicPr>
                  <pic:blipFill>
                    <a:blip r:embed="rId4"/>
                    <a:stretch>
                      <a:fillRect/>
                    </a:stretch>
                  </pic:blipFill>
                  <pic:spPr>
                    <a:xfrm>
                      <a:off x="0" y="0"/>
                      <a:ext cx="5267960" cy="7450455"/>
                    </a:xfrm>
                    <a:prstGeom prst="rect">
                      <a:avLst/>
                    </a:prstGeom>
                  </pic:spPr>
                </pic:pic>
              </a:graphicData>
            </a:graphic>
          </wp:inline>
        </w:drawing>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42C2E"/>
    <w:multiLevelType w:val="singleLevel"/>
    <w:tmpl w:val="23042C2E"/>
    <w:lvl w:ilvl="0" w:tentative="0">
      <w:start w:val="4"/>
      <w:numFmt w:val="decimal"/>
      <w:suff w:val="nothing"/>
      <w:lvlText w:val="%1、"/>
      <w:lvlJc w:val="left"/>
    </w:lvl>
  </w:abstractNum>
  <w:abstractNum w:abstractNumId="1">
    <w:nsid w:val="51752D14"/>
    <w:multiLevelType w:val="multilevel"/>
    <w:tmpl w:val="51752D14"/>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C61"/>
    <w:rsid w:val="000425F6"/>
    <w:rsid w:val="0004316F"/>
    <w:rsid w:val="00080282"/>
    <w:rsid w:val="0008626B"/>
    <w:rsid w:val="000A6A8B"/>
    <w:rsid w:val="00172A27"/>
    <w:rsid w:val="001A4593"/>
    <w:rsid w:val="001D438D"/>
    <w:rsid w:val="001D5F8B"/>
    <w:rsid w:val="002047D0"/>
    <w:rsid w:val="00207636"/>
    <w:rsid w:val="002415CC"/>
    <w:rsid w:val="002619E5"/>
    <w:rsid w:val="002752CB"/>
    <w:rsid w:val="00283751"/>
    <w:rsid w:val="002972B9"/>
    <w:rsid w:val="002B11BC"/>
    <w:rsid w:val="002C2B48"/>
    <w:rsid w:val="002E40B6"/>
    <w:rsid w:val="002F5F0C"/>
    <w:rsid w:val="002F62D4"/>
    <w:rsid w:val="00335919"/>
    <w:rsid w:val="00336DB3"/>
    <w:rsid w:val="00340D7A"/>
    <w:rsid w:val="00351DC0"/>
    <w:rsid w:val="00357A47"/>
    <w:rsid w:val="0036202A"/>
    <w:rsid w:val="003845BE"/>
    <w:rsid w:val="0038736E"/>
    <w:rsid w:val="003A29EB"/>
    <w:rsid w:val="003A3A5B"/>
    <w:rsid w:val="003B18AA"/>
    <w:rsid w:val="00401913"/>
    <w:rsid w:val="00415A80"/>
    <w:rsid w:val="00426FA0"/>
    <w:rsid w:val="004271CF"/>
    <w:rsid w:val="00457BAC"/>
    <w:rsid w:val="004775F4"/>
    <w:rsid w:val="00480DDC"/>
    <w:rsid w:val="004E5097"/>
    <w:rsid w:val="004F5E02"/>
    <w:rsid w:val="005A2641"/>
    <w:rsid w:val="005C628B"/>
    <w:rsid w:val="005E083B"/>
    <w:rsid w:val="00604318"/>
    <w:rsid w:val="006118CF"/>
    <w:rsid w:val="006373CA"/>
    <w:rsid w:val="00642711"/>
    <w:rsid w:val="0066383F"/>
    <w:rsid w:val="0069225F"/>
    <w:rsid w:val="006B0DBA"/>
    <w:rsid w:val="006B267D"/>
    <w:rsid w:val="006D1130"/>
    <w:rsid w:val="006D4A38"/>
    <w:rsid w:val="006E3404"/>
    <w:rsid w:val="006E633D"/>
    <w:rsid w:val="00704AE8"/>
    <w:rsid w:val="00714E0F"/>
    <w:rsid w:val="00757C76"/>
    <w:rsid w:val="00763CC4"/>
    <w:rsid w:val="007D77DF"/>
    <w:rsid w:val="00811357"/>
    <w:rsid w:val="00846397"/>
    <w:rsid w:val="008C329F"/>
    <w:rsid w:val="008C6EC7"/>
    <w:rsid w:val="008E7CB5"/>
    <w:rsid w:val="00900824"/>
    <w:rsid w:val="009350C4"/>
    <w:rsid w:val="0094028D"/>
    <w:rsid w:val="0095282C"/>
    <w:rsid w:val="009705C4"/>
    <w:rsid w:val="0097398A"/>
    <w:rsid w:val="009805B1"/>
    <w:rsid w:val="009825B4"/>
    <w:rsid w:val="00995884"/>
    <w:rsid w:val="009A5BDD"/>
    <w:rsid w:val="009F7121"/>
    <w:rsid w:val="00A02427"/>
    <w:rsid w:val="00A03520"/>
    <w:rsid w:val="00A13C64"/>
    <w:rsid w:val="00A26F30"/>
    <w:rsid w:val="00A61FFD"/>
    <w:rsid w:val="00A623DA"/>
    <w:rsid w:val="00A64283"/>
    <w:rsid w:val="00A67A22"/>
    <w:rsid w:val="00A94973"/>
    <w:rsid w:val="00AC296D"/>
    <w:rsid w:val="00AD24AC"/>
    <w:rsid w:val="00AD5C92"/>
    <w:rsid w:val="00AE16C4"/>
    <w:rsid w:val="00AF5C36"/>
    <w:rsid w:val="00B13CC8"/>
    <w:rsid w:val="00B208CD"/>
    <w:rsid w:val="00B327F8"/>
    <w:rsid w:val="00B36123"/>
    <w:rsid w:val="00B9028D"/>
    <w:rsid w:val="00B95DB9"/>
    <w:rsid w:val="00BC456A"/>
    <w:rsid w:val="00BD76C1"/>
    <w:rsid w:val="00BF384F"/>
    <w:rsid w:val="00C24ACC"/>
    <w:rsid w:val="00C354C5"/>
    <w:rsid w:val="00C51F91"/>
    <w:rsid w:val="00CB59DD"/>
    <w:rsid w:val="00CD089D"/>
    <w:rsid w:val="00CD68EE"/>
    <w:rsid w:val="00D03018"/>
    <w:rsid w:val="00D0439D"/>
    <w:rsid w:val="00D25D05"/>
    <w:rsid w:val="00D418D9"/>
    <w:rsid w:val="00D435D6"/>
    <w:rsid w:val="00DD5802"/>
    <w:rsid w:val="00DE06B2"/>
    <w:rsid w:val="00DE5410"/>
    <w:rsid w:val="00DF2B52"/>
    <w:rsid w:val="00E330C8"/>
    <w:rsid w:val="00E42CB7"/>
    <w:rsid w:val="00E45308"/>
    <w:rsid w:val="00E4588E"/>
    <w:rsid w:val="00EB0B1F"/>
    <w:rsid w:val="00F11013"/>
    <w:rsid w:val="00F36408"/>
    <w:rsid w:val="00F44F15"/>
    <w:rsid w:val="00F46FF0"/>
    <w:rsid w:val="00F53509"/>
    <w:rsid w:val="00F638B5"/>
    <w:rsid w:val="00F71D3D"/>
    <w:rsid w:val="00F94A3A"/>
    <w:rsid w:val="00FA0EDF"/>
    <w:rsid w:val="00FC6DAD"/>
    <w:rsid w:val="00FD52C9"/>
    <w:rsid w:val="037F51FB"/>
    <w:rsid w:val="03F95709"/>
    <w:rsid w:val="070413CE"/>
    <w:rsid w:val="07085CF6"/>
    <w:rsid w:val="0B803FC8"/>
    <w:rsid w:val="0B81133E"/>
    <w:rsid w:val="0C9A1FC3"/>
    <w:rsid w:val="0E192A40"/>
    <w:rsid w:val="142E561E"/>
    <w:rsid w:val="145C5613"/>
    <w:rsid w:val="14825259"/>
    <w:rsid w:val="14B01B4F"/>
    <w:rsid w:val="170F63A3"/>
    <w:rsid w:val="17FD1573"/>
    <w:rsid w:val="18BC2664"/>
    <w:rsid w:val="19FA3C41"/>
    <w:rsid w:val="1FA85637"/>
    <w:rsid w:val="2AA423E1"/>
    <w:rsid w:val="2B9B7B8E"/>
    <w:rsid w:val="2C852335"/>
    <w:rsid w:val="2E3E09D3"/>
    <w:rsid w:val="30B77645"/>
    <w:rsid w:val="31562CFF"/>
    <w:rsid w:val="32CD03FA"/>
    <w:rsid w:val="34316440"/>
    <w:rsid w:val="3D5812A6"/>
    <w:rsid w:val="3E961354"/>
    <w:rsid w:val="3F4D2A4A"/>
    <w:rsid w:val="426619BD"/>
    <w:rsid w:val="427C4376"/>
    <w:rsid w:val="44CB332D"/>
    <w:rsid w:val="48A9499E"/>
    <w:rsid w:val="4B152317"/>
    <w:rsid w:val="4EE95333"/>
    <w:rsid w:val="50216FB1"/>
    <w:rsid w:val="50A433B5"/>
    <w:rsid w:val="53D3162B"/>
    <w:rsid w:val="55995D6C"/>
    <w:rsid w:val="59373F83"/>
    <w:rsid w:val="5C680E69"/>
    <w:rsid w:val="5EBD2690"/>
    <w:rsid w:val="600848BF"/>
    <w:rsid w:val="63E820D9"/>
    <w:rsid w:val="695E4127"/>
    <w:rsid w:val="6A905C68"/>
    <w:rsid w:val="6AD44AAE"/>
    <w:rsid w:val="6C977B5A"/>
    <w:rsid w:val="6D4A13E6"/>
    <w:rsid w:val="738B4D40"/>
    <w:rsid w:val="7B3F2C5C"/>
    <w:rsid w:val="7BB70182"/>
    <w:rsid w:val="7C1B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8">
    <w:name w:val="Default Paragraph Font"/>
    <w:semiHidden/>
    <w:unhideWhenUsed/>
    <w:qFormat/>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semiHidden/>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style>
  <w:style w:type="paragraph" w:styleId="13">
    <w:name w:val="toc 5"/>
    <w:basedOn w:val="1"/>
    <w:next w:val="1"/>
    <w:semiHidden/>
    <w:qFormat/>
    <w:uiPriority w:val="0"/>
    <w:pPr>
      <w:ind w:left="960"/>
    </w:pPr>
    <w:rPr>
      <w:sz w:val="18"/>
      <w:szCs w:val="18"/>
    </w:rPr>
  </w:style>
  <w:style w:type="paragraph" w:styleId="14">
    <w:name w:val="toc 3"/>
    <w:basedOn w:val="1"/>
    <w:next w:val="1"/>
    <w:semiHidden/>
    <w:qFormat/>
    <w:uiPriority w:val="0"/>
    <w:pPr>
      <w:ind w:left="480"/>
    </w:pPr>
    <w:rPr>
      <w:i/>
      <w:iCs/>
      <w:sz w:val="20"/>
      <w:szCs w:val="20"/>
    </w:rPr>
  </w:style>
  <w:style w:type="paragraph" w:styleId="15">
    <w:name w:val="toc 8"/>
    <w:basedOn w:val="1"/>
    <w:next w:val="1"/>
    <w:semiHidden/>
    <w:qFormat/>
    <w:uiPriority w:val="0"/>
    <w:pPr>
      <w:ind w:left="1680"/>
    </w:pPr>
    <w:rPr>
      <w:sz w:val="18"/>
      <w:szCs w:val="18"/>
    </w:rPr>
  </w:style>
  <w:style w:type="paragraph" w:styleId="16">
    <w:name w:val="Balloon Text"/>
    <w:basedOn w:val="1"/>
    <w:semiHidden/>
    <w:qFormat/>
    <w:uiPriority w:val="0"/>
    <w:rPr>
      <w:sz w:val="18"/>
      <w:szCs w:val="18"/>
    </w:rPr>
  </w:style>
  <w:style w:type="paragraph" w:styleId="17">
    <w:name w:val="footer"/>
    <w:basedOn w:val="1"/>
    <w:link w:val="37"/>
    <w:uiPriority w:val="0"/>
    <w:pPr>
      <w:tabs>
        <w:tab w:val="center" w:pos="4153"/>
        <w:tab w:val="right" w:pos="8306"/>
      </w:tabs>
      <w:snapToGrid w:val="0"/>
      <w:spacing w:line="240" w:lineRule="auto"/>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semiHidden/>
    <w:qFormat/>
    <w:uiPriority w:val="0"/>
    <w:pPr>
      <w:spacing w:before="50" w:beforeLines="50"/>
    </w:pPr>
    <w:rPr>
      <w:b/>
      <w:bCs/>
      <w:caps/>
      <w:szCs w:val="20"/>
    </w:rPr>
  </w:style>
  <w:style w:type="paragraph" w:styleId="20">
    <w:name w:val="toc 4"/>
    <w:basedOn w:val="1"/>
    <w:next w:val="1"/>
    <w:semiHidden/>
    <w:qFormat/>
    <w:uiPriority w:val="0"/>
    <w:pPr>
      <w:ind w:left="720"/>
    </w:pPr>
    <w:rPr>
      <w:sz w:val="18"/>
      <w:szCs w:val="18"/>
    </w:rPr>
  </w:style>
  <w:style w:type="paragraph" w:styleId="21">
    <w:name w:val="toc 6"/>
    <w:basedOn w:val="1"/>
    <w:next w:val="1"/>
    <w:semiHidden/>
    <w:qFormat/>
    <w:uiPriority w:val="0"/>
    <w:pPr>
      <w:ind w:left="1200"/>
    </w:pPr>
    <w:rPr>
      <w:sz w:val="18"/>
      <w:szCs w:val="18"/>
    </w:rPr>
  </w:style>
  <w:style w:type="paragraph" w:styleId="22">
    <w:name w:val="toc 2"/>
    <w:basedOn w:val="1"/>
    <w:next w:val="1"/>
    <w:semiHidden/>
    <w:qFormat/>
    <w:uiPriority w:val="0"/>
    <w:pPr>
      <w:spacing w:line="360" w:lineRule="exact"/>
      <w:ind w:left="238"/>
    </w:pPr>
    <w:rPr>
      <w:smallCaps/>
      <w:sz w:val="21"/>
      <w:szCs w:val="20"/>
    </w:rPr>
  </w:style>
  <w:style w:type="paragraph" w:styleId="23">
    <w:name w:val="toc 9"/>
    <w:basedOn w:val="1"/>
    <w:next w:val="1"/>
    <w:semiHidden/>
    <w:qFormat/>
    <w:uiPriority w:val="0"/>
    <w:pPr>
      <w:ind w:left="1920"/>
    </w:pPr>
    <w:rPr>
      <w:sz w:val="18"/>
      <w:szCs w:val="18"/>
    </w:rPr>
  </w:style>
  <w:style w:type="paragraph" w:styleId="24">
    <w:name w:val="Normal (Web)"/>
    <w:basedOn w:val="1"/>
    <w:uiPriority w:val="0"/>
  </w:style>
  <w:style w:type="paragraph" w:styleId="25">
    <w:name w:val="annotation subject"/>
    <w:basedOn w:val="12"/>
    <w:next w:val="12"/>
    <w:link w:val="38"/>
    <w:qFormat/>
    <w:uiPriority w:val="0"/>
    <w:rPr>
      <w:b/>
      <w:bCs/>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annotation reference"/>
    <w:semiHidden/>
    <w:qFormat/>
    <w:uiPriority w:val="0"/>
    <w:rPr>
      <w:sz w:val="21"/>
      <w:szCs w:val="21"/>
    </w:rPr>
  </w:style>
  <w:style w:type="paragraph" w:customStyle="1" w:styleId="30">
    <w:name w:val="报告书正文"/>
    <w:basedOn w:val="1"/>
    <w:qFormat/>
    <w:uiPriority w:val="0"/>
    <w:pPr>
      <w:widowControl/>
      <w:ind w:firstLine="480" w:firstLineChars="200"/>
      <w:jc w:val="both"/>
    </w:pPr>
  </w:style>
  <w:style w:type="paragraph" w:customStyle="1" w:styleId="31">
    <w:name w:val="报告表正文"/>
    <w:basedOn w:val="1"/>
    <w:qFormat/>
    <w:uiPriority w:val="0"/>
    <w:pPr>
      <w:spacing w:line="480" w:lineRule="atLeast"/>
      <w:ind w:firstLine="960"/>
    </w:pPr>
  </w:style>
  <w:style w:type="paragraph" w:customStyle="1" w:styleId="32">
    <w:name w:val="表格标题"/>
    <w:next w:val="33"/>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3">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君邦正文"/>
    <w:basedOn w:val="1"/>
    <w:qFormat/>
    <w:uiPriority w:val="0"/>
    <w:pPr>
      <w:spacing w:after="60"/>
      <w:ind w:firstLine="200" w:firstLineChars="200"/>
    </w:pPr>
  </w:style>
  <w:style w:type="paragraph" w:customStyle="1" w:styleId="36">
    <w:name w:val="标题4"/>
    <w:next w:val="5"/>
    <w:uiPriority w:val="0"/>
    <w:pPr>
      <w:spacing w:line="360" w:lineRule="auto"/>
    </w:pPr>
    <w:rPr>
      <w:rFonts w:ascii="Times New Roman" w:hAnsi="Times New Roman" w:eastAsia="宋体" w:cs="Times New Roman"/>
      <w:kern w:val="2"/>
      <w:sz w:val="24"/>
      <w:szCs w:val="24"/>
      <w:lang w:val="en-US" w:eastAsia="zh-CN" w:bidi="ar-SA"/>
    </w:rPr>
  </w:style>
  <w:style w:type="character" w:customStyle="1" w:styleId="37">
    <w:name w:val="页脚 字符"/>
    <w:link w:val="17"/>
    <w:qFormat/>
    <w:uiPriority w:val="0"/>
    <w:rPr>
      <w:kern w:val="2"/>
      <w:sz w:val="18"/>
      <w:szCs w:val="18"/>
    </w:rPr>
  </w:style>
  <w:style w:type="character" w:customStyle="1" w:styleId="38">
    <w:name w:val="批注主题 字符"/>
    <w:link w:val="25"/>
    <w:qFormat/>
    <w:uiPriority w:val="0"/>
    <w:rPr>
      <w:b/>
      <w:bCs/>
      <w:kern w:val="2"/>
      <w:sz w:val="24"/>
      <w:szCs w:val="24"/>
    </w:rPr>
  </w:style>
  <w:style w:type="character" w:customStyle="1" w:styleId="39">
    <w:name w:val="页眉 字符"/>
    <w:link w:val="18"/>
    <w:qFormat/>
    <w:uiPriority w:val="0"/>
    <w:rPr>
      <w:kern w:val="2"/>
      <w:sz w:val="18"/>
      <w:szCs w:val="18"/>
    </w:rPr>
  </w:style>
  <w:style w:type="paragraph" w:customStyle="1" w:styleId="40">
    <w:name w:val="1-正文"/>
    <w:basedOn w:val="1"/>
    <w:qFormat/>
    <w:uiPriority w:val="0"/>
    <w:pPr>
      <w:spacing w:after="60"/>
      <w:ind w:firstLine="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whict</Company>
  <Pages>4</Pages>
  <Words>228</Words>
  <Characters>1300</Characters>
  <Lines>10</Lines>
  <Paragraphs>3</Paragraphs>
  <TotalTime>14</TotalTime>
  <ScaleCrop>false</ScaleCrop>
  <LinksUpToDate>false</LinksUpToDate>
  <CharactersWithSpaces>1525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2018-08-30T03:02:00Z</dcterms:created>
  <dc:creator>pc</dc:creator>
  <cp:lastModifiedBy>恋恋</cp:lastModifiedBy>
  <dcterms:modified xsi:type="dcterms:W3CDTF">2019-04-12T07:31:39Z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