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602" w:firstLineChars="200"/>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武汉锐科光纤激光技术股份有限公司</w:t>
      </w:r>
    </w:p>
    <w:p>
      <w:pPr>
        <w:spacing w:line="420" w:lineRule="exact"/>
        <w:ind w:firstLine="602" w:firstLineChars="200"/>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大功率光纤激光器开发及产业化项目（重新报批）</w:t>
      </w:r>
    </w:p>
    <w:p>
      <w:pPr>
        <w:spacing w:line="420" w:lineRule="exact"/>
        <w:ind w:firstLine="602" w:firstLineChars="20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竣工环保验收意见</w:t>
      </w:r>
    </w:p>
    <w:p>
      <w:pPr>
        <w:spacing w:line="420" w:lineRule="exact"/>
        <w:ind w:firstLine="482" w:firstLineChars="200"/>
        <w:jc w:val="left"/>
        <w:rPr>
          <w:rFonts w:hint="eastAsia" w:ascii="仿宋" w:hAnsi="仿宋" w:eastAsia="仿宋"/>
          <w:b/>
          <w:color w:val="auto"/>
          <w:sz w:val="24"/>
        </w:rPr>
      </w:pPr>
    </w:p>
    <w:p>
      <w:pPr>
        <w:spacing w:line="420" w:lineRule="exact"/>
        <w:ind w:firstLine="482" w:firstLineChars="200"/>
        <w:jc w:val="left"/>
        <w:rPr>
          <w:rFonts w:ascii="仿宋" w:hAnsi="仿宋" w:eastAsia="仿宋"/>
          <w:b/>
          <w:color w:val="auto"/>
          <w:sz w:val="24"/>
        </w:rPr>
      </w:pPr>
      <w:r>
        <w:rPr>
          <w:rFonts w:hint="eastAsia" w:ascii="仿宋" w:hAnsi="仿宋" w:eastAsia="仿宋"/>
          <w:b/>
          <w:color w:val="auto"/>
          <w:sz w:val="24"/>
        </w:rPr>
        <w:t>2</w:t>
      </w:r>
      <w:r>
        <w:rPr>
          <w:rFonts w:ascii="仿宋" w:hAnsi="仿宋" w:eastAsia="仿宋"/>
          <w:b/>
          <w:color w:val="auto"/>
          <w:sz w:val="24"/>
        </w:rPr>
        <w:t>02</w:t>
      </w:r>
      <w:r>
        <w:rPr>
          <w:rFonts w:hint="eastAsia" w:ascii="仿宋" w:hAnsi="仿宋" w:eastAsia="仿宋"/>
          <w:b/>
          <w:color w:val="auto"/>
          <w:sz w:val="24"/>
          <w:lang w:val="en-US" w:eastAsia="zh-CN"/>
        </w:rPr>
        <w:t>2</w:t>
      </w:r>
      <w:r>
        <w:rPr>
          <w:rFonts w:ascii="仿宋" w:hAnsi="仿宋" w:eastAsia="仿宋"/>
          <w:b/>
          <w:color w:val="auto"/>
          <w:sz w:val="24"/>
        </w:rPr>
        <w:t>年</w:t>
      </w:r>
      <w:r>
        <w:rPr>
          <w:rFonts w:hint="eastAsia" w:ascii="仿宋" w:hAnsi="仿宋" w:eastAsia="仿宋"/>
          <w:b/>
          <w:color w:val="auto"/>
          <w:sz w:val="24"/>
          <w:lang w:val="en-US" w:eastAsia="zh-CN"/>
        </w:rPr>
        <w:t>12</w:t>
      </w:r>
      <w:r>
        <w:rPr>
          <w:rFonts w:ascii="仿宋" w:hAnsi="仿宋" w:eastAsia="仿宋"/>
          <w:b/>
          <w:color w:val="auto"/>
          <w:sz w:val="24"/>
        </w:rPr>
        <w:t>月</w:t>
      </w:r>
      <w:r>
        <w:rPr>
          <w:rFonts w:hint="eastAsia" w:ascii="仿宋" w:hAnsi="仿宋" w:eastAsia="仿宋"/>
          <w:b/>
          <w:color w:val="auto"/>
          <w:sz w:val="24"/>
          <w:lang w:val="en-US" w:eastAsia="zh-CN"/>
        </w:rPr>
        <w:t>07</w:t>
      </w:r>
      <w:r>
        <w:rPr>
          <w:rFonts w:ascii="仿宋" w:hAnsi="仿宋" w:eastAsia="仿宋"/>
          <w:b/>
          <w:color w:val="auto"/>
          <w:sz w:val="24"/>
        </w:rPr>
        <w:t>日，</w:t>
      </w:r>
      <w:r>
        <w:rPr>
          <w:rFonts w:hint="eastAsia" w:ascii="仿宋" w:hAnsi="仿宋" w:eastAsia="仿宋"/>
          <w:b/>
          <w:color w:val="auto"/>
          <w:sz w:val="24"/>
          <w:lang w:eastAsia="zh-CN"/>
        </w:rPr>
        <w:t>武汉锐科光纤激光技术股份有限公司</w:t>
      </w:r>
      <w:r>
        <w:rPr>
          <w:rFonts w:ascii="仿宋" w:hAnsi="仿宋" w:eastAsia="仿宋"/>
          <w:b/>
          <w:color w:val="auto"/>
          <w:sz w:val="24"/>
        </w:rPr>
        <w:t>根据</w:t>
      </w:r>
      <w:r>
        <w:rPr>
          <w:rFonts w:hint="eastAsia" w:ascii="仿宋" w:hAnsi="仿宋" w:eastAsia="仿宋"/>
          <w:b/>
          <w:color w:val="auto"/>
          <w:sz w:val="24"/>
        </w:rPr>
        <w:t>《</w:t>
      </w:r>
      <w:r>
        <w:rPr>
          <w:rFonts w:hint="eastAsia" w:ascii="仿宋" w:hAnsi="仿宋" w:eastAsia="仿宋"/>
          <w:b/>
          <w:color w:val="auto"/>
          <w:sz w:val="24"/>
          <w:lang w:eastAsia="zh-CN"/>
        </w:rPr>
        <w:t>武汉锐科光纤激光技术股份有限公司大功率光纤激光器开发及产业化项目（重新报批）</w:t>
      </w:r>
      <w:r>
        <w:rPr>
          <w:rFonts w:hint="eastAsia" w:ascii="仿宋" w:hAnsi="仿宋" w:eastAsia="仿宋"/>
          <w:b/>
          <w:color w:val="auto"/>
          <w:sz w:val="24"/>
        </w:rPr>
        <w:t>竣工环境保护验收监测报告表》</w:t>
      </w:r>
      <w:r>
        <w:rPr>
          <w:rFonts w:ascii="仿宋" w:hAnsi="仿宋" w:eastAsia="仿宋"/>
          <w:b/>
          <w:color w:val="auto"/>
          <w:sz w:val="24"/>
        </w:rPr>
        <w:t>，</w:t>
      </w:r>
      <w:r>
        <w:rPr>
          <w:rFonts w:hint="eastAsia" w:ascii="仿宋" w:hAnsi="仿宋" w:eastAsia="仿宋" w:cs="仿宋"/>
          <w:b/>
          <w:bCs/>
          <w:color w:val="auto"/>
          <w:sz w:val="24"/>
        </w:rPr>
        <w:t>对照</w:t>
      </w:r>
      <w:r>
        <w:rPr>
          <w:rFonts w:hint="eastAsia" w:ascii="仿宋" w:hAnsi="仿宋" w:eastAsia="仿宋" w:cs="仿宋"/>
          <w:b/>
          <w:bCs/>
          <w:color w:val="auto"/>
          <w:sz w:val="24"/>
          <w:lang w:val="zh-CN"/>
        </w:rPr>
        <w:t>《建设项目环境保护管理条例》、</w:t>
      </w:r>
      <w:r>
        <w:rPr>
          <w:rFonts w:hint="eastAsia" w:ascii="仿宋" w:hAnsi="仿宋" w:eastAsia="仿宋" w:cs="仿宋"/>
          <w:b/>
          <w:bCs/>
          <w:color w:val="auto"/>
          <w:sz w:val="24"/>
        </w:rPr>
        <w:t>《建设项目竣工环境保护验收暂行办法》，严格依照国家有关法律法规、建设项目竣工环境保护验收技术规范/指南、本项目环境影响报告表和审批部门审批决定等要求，组成验收组（验收组名单附后）对本项目进行自主验收</w:t>
      </w:r>
      <w:r>
        <w:rPr>
          <w:rFonts w:hint="eastAsia" w:ascii="仿宋" w:hAnsi="仿宋" w:eastAsia="仿宋" w:cs="仿宋"/>
          <w:b/>
          <w:bCs/>
          <w:color w:val="auto"/>
          <w:kern w:val="0"/>
          <w:sz w:val="24"/>
        </w:rPr>
        <w:t>。</w:t>
      </w:r>
    </w:p>
    <w:p>
      <w:pPr>
        <w:spacing w:line="312" w:lineRule="auto"/>
        <w:ind w:firstLine="482" w:firstLineChars="200"/>
        <w:rPr>
          <w:rFonts w:ascii="仿宋" w:hAnsi="仿宋" w:eastAsia="仿宋" w:cs="仿宋"/>
          <w:color w:val="auto"/>
          <w:sz w:val="24"/>
        </w:rPr>
      </w:pPr>
      <w:r>
        <w:rPr>
          <w:rFonts w:hint="eastAsia" w:ascii="仿宋" w:hAnsi="仿宋" w:eastAsia="仿宋" w:cs="仿宋"/>
          <w:b/>
          <w:bCs/>
          <w:color w:val="auto"/>
          <w:sz w:val="24"/>
        </w:rPr>
        <w:t>验收组成员现场实地检查了项目实施情况和环保设施的建设、运行情况，听取了建设单位关于该项目环保执行情况的介绍、验收监测报告编制单位关于该项目竣工环境保护验收监测报告的汇报，审阅并核实了有关资料，经质询与讨论，形成验收意见如下：</w:t>
      </w:r>
    </w:p>
    <w:p>
      <w:pPr>
        <w:spacing w:line="440" w:lineRule="exact"/>
        <w:ind w:firstLine="482" w:firstLineChars="200"/>
        <w:jc w:val="left"/>
        <w:rPr>
          <w:rFonts w:ascii="仿宋" w:hAnsi="仿宋" w:eastAsia="仿宋"/>
          <w:b/>
          <w:color w:val="auto"/>
          <w:sz w:val="24"/>
        </w:rPr>
      </w:pPr>
      <w:r>
        <w:rPr>
          <w:rFonts w:ascii="仿宋" w:hAnsi="仿宋" w:eastAsia="仿宋"/>
          <w:b/>
          <w:color w:val="auto"/>
          <w:sz w:val="24"/>
        </w:rPr>
        <w:t>一、工程建设基本情况</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1、建设地点、规模、主要建设内容</w:t>
      </w:r>
    </w:p>
    <w:p>
      <w:pPr>
        <w:widowControl/>
        <w:spacing w:line="440" w:lineRule="exact"/>
        <w:ind w:firstLine="482" w:firstLineChars="200"/>
        <w:jc w:val="left"/>
        <w:rPr>
          <w:rFonts w:hint="eastAsia" w:ascii="仿宋" w:hAnsi="仿宋" w:eastAsia="仿宋" w:cs="宋体"/>
          <w:b/>
          <w:color w:val="auto"/>
          <w:kern w:val="0"/>
          <w:sz w:val="24"/>
          <w:lang w:val="sq-AL" w:eastAsia="zh-CN"/>
        </w:rPr>
      </w:pPr>
      <w:r>
        <w:rPr>
          <w:rFonts w:hint="eastAsia" w:ascii="仿宋" w:hAnsi="仿宋" w:eastAsia="仿宋" w:cs="宋体"/>
          <w:b/>
          <w:color w:val="auto"/>
          <w:kern w:val="0"/>
          <w:sz w:val="24"/>
        </w:rPr>
        <w:t>武汉锐科光纤激光技术股份有限公司大功率光纤激光器开发及产业化项目（重新报批）位于湖北省武汉市东湖新技术开发区高新大道未来科技城公司产业基地内，项目于202</w:t>
      </w:r>
      <w:r>
        <w:rPr>
          <w:rFonts w:hint="eastAsia" w:ascii="仿宋" w:hAnsi="仿宋" w:eastAsia="仿宋" w:cs="宋体"/>
          <w:b/>
          <w:color w:val="auto"/>
          <w:kern w:val="0"/>
          <w:sz w:val="24"/>
          <w:lang w:val="en-US" w:eastAsia="zh-CN"/>
        </w:rPr>
        <w:t>2</w:t>
      </w:r>
      <w:r>
        <w:rPr>
          <w:rFonts w:hint="eastAsia" w:ascii="仿宋" w:hAnsi="仿宋" w:eastAsia="仿宋" w:cs="宋体"/>
          <w:b/>
          <w:color w:val="auto"/>
          <w:kern w:val="0"/>
          <w:sz w:val="24"/>
        </w:rPr>
        <w:t>年</w:t>
      </w:r>
      <w:r>
        <w:rPr>
          <w:rFonts w:hint="eastAsia" w:ascii="仿宋" w:hAnsi="仿宋" w:eastAsia="仿宋" w:cs="宋体"/>
          <w:b/>
          <w:color w:val="auto"/>
          <w:kern w:val="0"/>
          <w:sz w:val="24"/>
          <w:lang w:val="en-US" w:eastAsia="zh-CN"/>
        </w:rPr>
        <w:t>6</w:t>
      </w:r>
      <w:r>
        <w:rPr>
          <w:rFonts w:hint="eastAsia" w:ascii="仿宋" w:hAnsi="仿宋" w:eastAsia="仿宋" w:cs="宋体"/>
          <w:b/>
          <w:color w:val="auto"/>
          <w:kern w:val="0"/>
          <w:sz w:val="24"/>
        </w:rPr>
        <w:t>月在</w:t>
      </w:r>
      <w:r>
        <w:rPr>
          <w:rFonts w:hint="eastAsia" w:ascii="仿宋" w:hAnsi="仿宋" w:eastAsia="仿宋" w:cs="宋体"/>
          <w:b/>
          <w:color w:val="auto"/>
          <w:kern w:val="0"/>
          <w:sz w:val="24"/>
          <w:lang w:eastAsia="zh-CN"/>
        </w:rPr>
        <w:t>原制造中心1F\3F布置大功率激光器及其相关组件生产线，包括半导体泵浦源生产线、无源器件生产线、激光器生产线，2F改为中试部门，将原研发中心1F作为部分涉密项目实验室及监控室等，2F\3F改为办公用。</w:t>
      </w:r>
      <w:r>
        <w:rPr>
          <w:rFonts w:hint="eastAsia" w:ascii="仿宋" w:hAnsi="仿宋" w:eastAsia="仿宋" w:cs="宋体"/>
          <w:b/>
          <w:color w:val="auto"/>
          <w:kern w:val="0"/>
          <w:sz w:val="24"/>
          <w:lang w:val="sq-AL"/>
        </w:rPr>
        <w:t>项目建成后，年生产大功率激光器9120个</w:t>
      </w:r>
      <w:r>
        <w:rPr>
          <w:rFonts w:hint="eastAsia" w:ascii="仿宋" w:hAnsi="仿宋" w:eastAsia="仿宋" w:cs="宋体"/>
          <w:b/>
          <w:color w:val="auto"/>
          <w:kern w:val="0"/>
          <w:sz w:val="24"/>
          <w:lang w:val="sq-AL" w:eastAsia="zh-CN"/>
        </w:rPr>
        <w:t>。</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2、建设过程及环保审批情况</w:t>
      </w: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default"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武汉锐科光纤激光技术股份有限公司于2017年委托中冶南方工程技术有限公司编制完成了《武汉锐科光纤激光技术股份有限公司大功率光纤激光器开发及产业化项目环境影响报告表》（以下简称“原环评”），同年2月23日取得了原武汉东湖新技术开发区环境保护局的批复，批准文号武新环审〔2017〕12号。</w:t>
      </w: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由于发展需要对原建设内容进行修改，武汉锐科光纤激光技术股份有限公司按照要求重新报批环评手续。手续履行情况如下：</w:t>
      </w: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武汉锐科光纤激光技术股份有限公司于2022年5月委托中冶南方工程技术有限公司编制完成了《武汉锐科光纤激光技术股份有限公司大功率光纤激光器开发及产业化项目（重新报批）环境影响报告表》，同年6月1日取得了武汉东湖新技术开发区生态环境和水务湖泊局的批复《武汉东湖新技术开发区生态环境和水务湖泊局关于武汉锐科光纤激光技术股份有限公司大功率光纤激光器开发及产业化项目（重新报批）环境影响报告表批复》（武新环告〔2022〕64号）。</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本项目于20</w:t>
      </w:r>
      <w:r>
        <w:rPr>
          <w:rFonts w:hint="eastAsia" w:ascii="仿宋" w:hAnsi="仿宋" w:eastAsia="仿宋" w:cs="宋体"/>
          <w:b/>
          <w:color w:val="auto"/>
          <w:kern w:val="0"/>
          <w:sz w:val="24"/>
          <w:lang w:val="en-US" w:eastAsia="zh-CN"/>
        </w:rPr>
        <w:t>22</w:t>
      </w:r>
      <w:r>
        <w:rPr>
          <w:rFonts w:hint="eastAsia" w:ascii="仿宋" w:hAnsi="仿宋" w:eastAsia="仿宋" w:cs="宋体"/>
          <w:b/>
          <w:color w:val="auto"/>
          <w:kern w:val="0"/>
          <w:sz w:val="24"/>
        </w:rPr>
        <w:t>年</w:t>
      </w:r>
      <w:r>
        <w:rPr>
          <w:rFonts w:hint="eastAsia" w:ascii="仿宋" w:hAnsi="仿宋" w:eastAsia="仿宋" w:cs="宋体"/>
          <w:b/>
          <w:color w:val="auto"/>
          <w:kern w:val="0"/>
          <w:sz w:val="24"/>
          <w:lang w:val="en-US" w:eastAsia="zh-CN"/>
        </w:rPr>
        <w:t>6</w:t>
      </w:r>
      <w:r>
        <w:rPr>
          <w:rFonts w:hint="eastAsia" w:ascii="仿宋" w:hAnsi="仿宋" w:eastAsia="仿宋" w:cs="宋体"/>
          <w:b/>
          <w:color w:val="auto"/>
          <w:kern w:val="0"/>
          <w:sz w:val="24"/>
        </w:rPr>
        <w:t>月开工建设，20</w:t>
      </w:r>
      <w:r>
        <w:rPr>
          <w:rFonts w:hint="eastAsia" w:ascii="仿宋" w:hAnsi="仿宋" w:eastAsia="仿宋" w:cs="宋体"/>
          <w:b/>
          <w:color w:val="auto"/>
          <w:kern w:val="0"/>
          <w:sz w:val="24"/>
          <w:lang w:val="en-US" w:eastAsia="zh-CN"/>
        </w:rPr>
        <w:t>22</w:t>
      </w:r>
      <w:r>
        <w:rPr>
          <w:rFonts w:hint="eastAsia" w:ascii="仿宋" w:hAnsi="仿宋" w:eastAsia="仿宋" w:cs="宋体"/>
          <w:b/>
          <w:color w:val="auto"/>
          <w:kern w:val="0"/>
          <w:sz w:val="24"/>
        </w:rPr>
        <w:t>年</w:t>
      </w:r>
      <w:r>
        <w:rPr>
          <w:rFonts w:hint="eastAsia" w:ascii="仿宋" w:hAnsi="仿宋" w:eastAsia="仿宋" w:cs="宋体"/>
          <w:b/>
          <w:color w:val="auto"/>
          <w:kern w:val="0"/>
          <w:sz w:val="24"/>
          <w:lang w:val="en-US" w:eastAsia="zh-CN"/>
        </w:rPr>
        <w:t>8</w:t>
      </w:r>
      <w:r>
        <w:rPr>
          <w:rFonts w:hint="eastAsia" w:ascii="仿宋" w:hAnsi="仿宋" w:eastAsia="仿宋" w:cs="宋体"/>
          <w:b/>
          <w:color w:val="auto"/>
          <w:kern w:val="0"/>
          <w:sz w:val="24"/>
        </w:rPr>
        <w:t>月开始调试，截至目前，项目各生产设施，环保设备等均能</w:t>
      </w:r>
      <w:r>
        <w:rPr>
          <w:rFonts w:hint="eastAsia" w:ascii="仿宋" w:hAnsi="仿宋" w:eastAsia="仿宋" w:cs="宋体"/>
          <w:b/>
          <w:color w:val="auto"/>
          <w:kern w:val="0"/>
          <w:sz w:val="24"/>
          <w:lang w:eastAsia="zh-CN"/>
        </w:rPr>
        <w:t>稳定</w:t>
      </w:r>
      <w:r>
        <w:rPr>
          <w:rFonts w:hint="eastAsia" w:ascii="仿宋" w:hAnsi="仿宋" w:eastAsia="仿宋" w:cs="宋体"/>
          <w:b/>
          <w:color w:val="auto"/>
          <w:kern w:val="0"/>
          <w:sz w:val="24"/>
        </w:rPr>
        <w:t>运行，达到竣工环境保护验收要求。</w:t>
      </w:r>
    </w:p>
    <w:p>
      <w:pPr>
        <w:spacing w:line="440" w:lineRule="exact"/>
        <w:ind w:firstLine="482" w:firstLineChars="200"/>
        <w:jc w:val="left"/>
        <w:outlineLvl w:val="0"/>
        <w:rPr>
          <w:rFonts w:ascii="仿宋" w:hAnsi="仿宋" w:eastAsia="仿宋"/>
          <w:b/>
          <w:color w:val="auto"/>
          <w:sz w:val="24"/>
        </w:rPr>
      </w:pPr>
      <w:r>
        <w:rPr>
          <w:rFonts w:hint="eastAsia" w:ascii="仿宋" w:hAnsi="仿宋" w:eastAsia="仿宋"/>
          <w:b/>
          <w:color w:val="auto"/>
          <w:sz w:val="24"/>
        </w:rPr>
        <w:t>3</w:t>
      </w:r>
      <w:r>
        <w:rPr>
          <w:rFonts w:ascii="仿宋" w:hAnsi="仿宋" w:eastAsia="仿宋"/>
          <w:b/>
          <w:color w:val="auto"/>
          <w:sz w:val="24"/>
        </w:rPr>
        <w:t>、</w:t>
      </w:r>
      <w:r>
        <w:rPr>
          <w:rFonts w:hint="eastAsia" w:ascii="仿宋" w:hAnsi="仿宋" w:eastAsia="仿宋"/>
          <w:b/>
          <w:color w:val="auto"/>
          <w:sz w:val="24"/>
        </w:rPr>
        <w:t>投资情况</w:t>
      </w:r>
    </w:p>
    <w:p>
      <w:pPr>
        <w:spacing w:line="440" w:lineRule="exact"/>
        <w:ind w:firstLine="482" w:firstLineChars="200"/>
        <w:jc w:val="left"/>
        <w:outlineLvl w:val="0"/>
        <w:rPr>
          <w:rFonts w:ascii="仿宋" w:hAnsi="仿宋" w:eastAsia="仿宋"/>
          <w:b/>
          <w:color w:val="auto"/>
          <w:sz w:val="24"/>
        </w:rPr>
      </w:pPr>
      <w:r>
        <w:rPr>
          <w:rFonts w:hint="eastAsia" w:ascii="仿宋" w:hAnsi="仿宋" w:eastAsia="仿宋"/>
          <w:b/>
          <w:color w:val="auto"/>
          <w:sz w:val="24"/>
        </w:rPr>
        <w:t>项目实际总投资58287.62万元，其中环保投资</w:t>
      </w:r>
      <w:r>
        <w:rPr>
          <w:rFonts w:hint="eastAsia" w:ascii="仿宋" w:hAnsi="仿宋" w:eastAsia="仿宋"/>
          <w:b/>
          <w:color w:val="auto"/>
          <w:sz w:val="24"/>
          <w:lang w:val="en-US" w:eastAsia="zh-CN"/>
        </w:rPr>
        <w:t>37.5</w:t>
      </w:r>
      <w:r>
        <w:rPr>
          <w:rFonts w:hint="eastAsia" w:ascii="仿宋" w:hAnsi="仿宋" w:eastAsia="仿宋"/>
          <w:b/>
          <w:color w:val="auto"/>
          <w:sz w:val="24"/>
        </w:rPr>
        <w:t>万元，环保投资占总投资的比例为0.064%。</w:t>
      </w:r>
    </w:p>
    <w:p>
      <w:pPr>
        <w:widowControl/>
        <w:spacing w:line="440" w:lineRule="exact"/>
        <w:ind w:firstLine="482" w:firstLineChars="200"/>
        <w:jc w:val="left"/>
        <w:rPr>
          <w:rFonts w:eastAsia="仿宋"/>
          <w:color w:val="auto"/>
        </w:rPr>
      </w:pPr>
      <w:r>
        <w:rPr>
          <w:rFonts w:hint="eastAsia" w:ascii="仿宋" w:hAnsi="仿宋" w:eastAsia="仿宋"/>
          <w:b/>
          <w:color w:val="auto"/>
          <w:sz w:val="24"/>
        </w:rPr>
        <w:t>4、验收范围</w:t>
      </w:r>
    </w:p>
    <w:p>
      <w:pPr>
        <w:spacing w:line="440" w:lineRule="exact"/>
        <w:ind w:firstLine="482" w:firstLineChars="200"/>
        <w:jc w:val="left"/>
        <w:outlineLvl w:val="0"/>
        <w:rPr>
          <w:rFonts w:ascii="仿宋" w:hAnsi="仿宋" w:eastAsia="仿宋"/>
          <w:b/>
          <w:color w:val="auto"/>
          <w:sz w:val="24"/>
        </w:rPr>
      </w:pPr>
      <w:r>
        <w:rPr>
          <w:rFonts w:hint="eastAsia" w:ascii="仿宋" w:hAnsi="仿宋" w:eastAsia="仿宋"/>
          <w:b/>
          <w:color w:val="auto"/>
          <w:sz w:val="24"/>
        </w:rPr>
        <w:t>本次验收范围</w:t>
      </w:r>
      <w:r>
        <w:rPr>
          <w:rFonts w:hint="eastAsia" w:ascii="仿宋" w:hAnsi="仿宋" w:eastAsia="仿宋"/>
          <w:b/>
          <w:color w:val="auto"/>
          <w:sz w:val="24"/>
          <w:lang w:eastAsia="zh-CN"/>
        </w:rPr>
        <w:t>包括</w:t>
      </w:r>
      <w:r>
        <w:rPr>
          <w:rFonts w:hint="eastAsia" w:ascii="仿宋" w:hAnsi="仿宋" w:eastAsia="仿宋" w:cs="宋体"/>
          <w:b/>
          <w:color w:val="auto"/>
          <w:kern w:val="0"/>
          <w:sz w:val="24"/>
          <w:lang w:eastAsia="zh-CN"/>
        </w:rPr>
        <w:t>制造中心1F\3F大功率激光器及其相关组件生产线，包括半导体泵浦源生产线、无源器件生产线、激光器生产线，2F中试部门</w:t>
      </w:r>
      <w:r>
        <w:rPr>
          <w:rFonts w:hint="eastAsia" w:ascii="仿宋" w:hAnsi="仿宋" w:eastAsia="仿宋"/>
          <w:b/>
          <w:color w:val="auto"/>
          <w:sz w:val="24"/>
        </w:rPr>
        <w:t>，</w:t>
      </w:r>
      <w:r>
        <w:rPr>
          <w:rFonts w:hint="eastAsia" w:ascii="仿宋" w:hAnsi="仿宋" w:eastAsia="仿宋"/>
          <w:b/>
          <w:color w:val="auto"/>
          <w:sz w:val="24"/>
          <w:lang w:eastAsia="zh-CN"/>
        </w:rPr>
        <w:t>研发中心（</w:t>
      </w:r>
      <w:r>
        <w:rPr>
          <w:rFonts w:hint="eastAsia" w:ascii="仿宋" w:hAnsi="仿宋" w:eastAsia="仿宋" w:cs="宋体"/>
          <w:b/>
          <w:color w:val="auto"/>
          <w:kern w:val="0"/>
          <w:sz w:val="24"/>
          <w:lang w:eastAsia="zh-CN"/>
        </w:rPr>
        <w:t>1F涉密项目实验室及监控室等，2F\3F办公用室</w:t>
      </w:r>
      <w:r>
        <w:rPr>
          <w:rFonts w:hint="eastAsia" w:ascii="仿宋" w:hAnsi="仿宋" w:eastAsia="仿宋"/>
          <w:b/>
          <w:color w:val="auto"/>
          <w:sz w:val="24"/>
          <w:lang w:eastAsia="zh-CN"/>
        </w:rPr>
        <w:t>）。</w:t>
      </w:r>
      <w:r>
        <w:rPr>
          <w:rFonts w:hint="eastAsia" w:ascii="仿宋" w:hAnsi="仿宋" w:eastAsia="仿宋"/>
          <w:b/>
          <w:color w:val="auto"/>
          <w:sz w:val="24"/>
        </w:rPr>
        <w:t>生产规模为</w:t>
      </w:r>
      <w:r>
        <w:rPr>
          <w:rFonts w:hint="eastAsia" w:ascii="仿宋" w:hAnsi="仿宋" w:eastAsia="仿宋" w:cs="宋体"/>
          <w:b/>
          <w:color w:val="auto"/>
          <w:kern w:val="0"/>
          <w:sz w:val="24"/>
          <w:lang w:val="sq-AL"/>
        </w:rPr>
        <w:t>年生产大功率激光器9120个</w:t>
      </w:r>
      <w:r>
        <w:rPr>
          <w:rFonts w:hint="eastAsia" w:ascii="仿宋" w:hAnsi="仿宋" w:eastAsia="仿宋"/>
          <w:b/>
          <w:color w:val="auto"/>
          <w:sz w:val="24"/>
        </w:rPr>
        <w:t>。</w:t>
      </w:r>
    </w:p>
    <w:p>
      <w:pPr>
        <w:spacing w:line="440" w:lineRule="exact"/>
        <w:ind w:left="479" w:leftChars="228"/>
        <w:jc w:val="left"/>
        <w:outlineLvl w:val="0"/>
        <w:rPr>
          <w:rFonts w:ascii="仿宋" w:hAnsi="仿宋" w:eastAsia="仿宋"/>
          <w:b/>
          <w:color w:val="auto"/>
          <w:sz w:val="24"/>
        </w:rPr>
      </w:pPr>
      <w:r>
        <w:rPr>
          <w:rFonts w:hint="eastAsia" w:ascii="仿宋" w:hAnsi="仿宋" w:eastAsia="仿宋"/>
          <w:b/>
          <w:color w:val="auto"/>
          <w:sz w:val="24"/>
        </w:rPr>
        <w:t>二、工程变动情况</w:t>
      </w:r>
    </w:p>
    <w:p>
      <w:pPr>
        <w:widowControl/>
        <w:spacing w:line="440" w:lineRule="exact"/>
        <w:ind w:firstLine="482" w:firstLineChars="200"/>
        <w:jc w:val="left"/>
        <w:rPr>
          <w:rFonts w:ascii="仿宋" w:hAnsi="仿宋" w:eastAsia="仿宋"/>
          <w:b/>
          <w:color w:val="auto"/>
          <w:sz w:val="24"/>
        </w:rPr>
      </w:pPr>
      <w:r>
        <w:rPr>
          <w:rFonts w:hint="eastAsia" w:ascii="仿宋" w:hAnsi="仿宋" w:eastAsia="仿宋"/>
          <w:b/>
          <w:color w:val="auto"/>
          <w:sz w:val="24"/>
        </w:rPr>
        <w:t>根据中华人民共和国生态环境部办公厅关于印发《污染影响类建设项目重大变动清单（试行）》的通知环办环评函【2020】688号可知，本次验收范围内的建设内容、建设地点、性质、规模、生产工艺及配套的环保设施均未涉及重大变更。</w:t>
      </w:r>
    </w:p>
    <w:p>
      <w:pPr>
        <w:spacing w:line="440" w:lineRule="exact"/>
        <w:ind w:left="479" w:leftChars="228"/>
        <w:jc w:val="left"/>
        <w:outlineLvl w:val="0"/>
        <w:rPr>
          <w:rFonts w:ascii="仿宋" w:hAnsi="仿宋" w:eastAsia="仿宋"/>
          <w:b/>
          <w:color w:val="auto"/>
          <w:sz w:val="24"/>
        </w:rPr>
      </w:pPr>
      <w:r>
        <w:rPr>
          <w:rFonts w:hint="eastAsia" w:ascii="仿宋" w:hAnsi="仿宋" w:eastAsia="仿宋"/>
          <w:b/>
          <w:color w:val="auto"/>
          <w:sz w:val="24"/>
        </w:rPr>
        <w:t>三</w:t>
      </w:r>
      <w:r>
        <w:rPr>
          <w:rFonts w:ascii="仿宋" w:hAnsi="仿宋" w:eastAsia="仿宋"/>
          <w:b/>
          <w:color w:val="auto"/>
          <w:sz w:val="24"/>
        </w:rPr>
        <w:t>、环境保护设施建设情况</w:t>
      </w:r>
    </w:p>
    <w:p>
      <w:pPr>
        <w:spacing w:line="440" w:lineRule="exact"/>
        <w:ind w:firstLine="482" w:firstLineChars="200"/>
        <w:rPr>
          <w:rFonts w:ascii="仿宋" w:hAnsi="仿宋" w:eastAsia="仿宋"/>
          <w:b/>
          <w:color w:val="auto"/>
          <w:sz w:val="24"/>
        </w:rPr>
      </w:pPr>
      <w:r>
        <w:rPr>
          <w:rFonts w:ascii="仿宋" w:hAnsi="仿宋" w:eastAsia="仿宋"/>
          <w:b/>
          <w:color w:val="auto"/>
          <w:sz w:val="24"/>
        </w:rPr>
        <w:t>1</w:t>
      </w:r>
      <w:r>
        <w:rPr>
          <w:rFonts w:hint="eastAsia" w:ascii="仿宋" w:hAnsi="仿宋" w:eastAsia="仿宋"/>
          <w:b/>
          <w:color w:val="auto"/>
          <w:sz w:val="24"/>
        </w:rPr>
        <w:t>、</w:t>
      </w:r>
      <w:r>
        <w:rPr>
          <w:rFonts w:ascii="仿宋" w:hAnsi="仿宋" w:eastAsia="仿宋"/>
          <w:b/>
          <w:color w:val="auto"/>
          <w:sz w:val="24"/>
        </w:rPr>
        <w:t>废水</w:t>
      </w:r>
    </w:p>
    <w:p>
      <w:pPr>
        <w:spacing w:line="440" w:lineRule="exact"/>
        <w:ind w:firstLine="482" w:firstLineChars="200"/>
        <w:rPr>
          <w:rFonts w:hint="eastAsia" w:ascii="仿宋" w:hAnsi="仿宋" w:eastAsia="仿宋" w:cs="宋体"/>
          <w:b/>
          <w:color w:val="auto"/>
          <w:kern w:val="0"/>
          <w:sz w:val="24"/>
        </w:rPr>
      </w:pPr>
      <w:r>
        <w:rPr>
          <w:rFonts w:hint="eastAsia" w:ascii="仿宋" w:hAnsi="仿宋" w:eastAsia="仿宋" w:cs="宋体"/>
          <w:b/>
          <w:color w:val="auto"/>
          <w:kern w:val="0"/>
          <w:sz w:val="24"/>
        </w:rPr>
        <w:t>本项目废水主要为办公产生的生活污水，主要污染物为pH、SS、COD、BOD5、NH3-N、动植物油等，生活污水经武汉锐科未来科技城厂区化粪池、隔油池处理后由厂区总排口排入市政污水管网然后进入豹澥污水处理厂进一步处理，尾水排入长江（武汉段）。</w:t>
      </w:r>
    </w:p>
    <w:p>
      <w:pPr>
        <w:spacing w:line="440" w:lineRule="exact"/>
        <w:ind w:firstLine="482" w:firstLineChars="200"/>
        <w:rPr>
          <w:rFonts w:ascii="仿宋" w:hAnsi="仿宋" w:eastAsia="仿宋" w:cs="宋体"/>
          <w:b/>
          <w:color w:val="auto"/>
          <w:kern w:val="0"/>
          <w:sz w:val="24"/>
        </w:rPr>
      </w:pPr>
      <w:r>
        <w:rPr>
          <w:rFonts w:hint="eastAsia" w:ascii="仿宋" w:hAnsi="仿宋" w:eastAsia="仿宋" w:cs="宋体"/>
          <w:b/>
          <w:color w:val="auto"/>
          <w:kern w:val="0"/>
          <w:sz w:val="24"/>
        </w:rPr>
        <w:t>2、废气</w:t>
      </w:r>
    </w:p>
    <w:p>
      <w:pPr>
        <w:numPr>
          <w:ilvl w:val="0"/>
          <w:numId w:val="0"/>
        </w:numPr>
        <w:spacing w:line="440" w:lineRule="exact"/>
        <w:ind w:firstLine="482" w:firstLineChars="200"/>
        <w:rPr>
          <w:rFonts w:hint="eastAsia" w:ascii="仿宋" w:hAnsi="仿宋" w:eastAsia="仿宋" w:cs="宋体"/>
          <w:b/>
          <w:color w:val="auto"/>
          <w:kern w:val="0"/>
          <w:sz w:val="24"/>
          <w:lang w:val="en-US" w:eastAsia="zh-CN"/>
        </w:rPr>
      </w:pPr>
      <w:r>
        <w:rPr>
          <w:rFonts w:hint="eastAsia" w:ascii="仿宋" w:hAnsi="仿宋" w:eastAsia="仿宋" w:cs="宋体"/>
          <w:b/>
          <w:color w:val="auto"/>
          <w:kern w:val="0"/>
          <w:sz w:val="24"/>
          <w:lang w:val="en-US" w:eastAsia="zh-CN"/>
        </w:rPr>
        <w:t>有组织废气：</w:t>
      </w:r>
    </w:p>
    <w:p>
      <w:pPr>
        <w:numPr>
          <w:ilvl w:val="0"/>
          <w:numId w:val="0"/>
        </w:numPr>
        <w:spacing w:line="440" w:lineRule="exact"/>
        <w:ind w:firstLine="482" w:firstLineChars="200"/>
        <w:rPr>
          <w:rFonts w:hint="eastAsia" w:ascii="仿宋" w:hAnsi="仿宋" w:eastAsia="仿宋" w:cs="宋体"/>
          <w:b/>
          <w:color w:val="auto"/>
          <w:kern w:val="0"/>
          <w:sz w:val="24"/>
          <w:lang w:val="en-US" w:eastAsia="zh-CN"/>
        </w:rPr>
      </w:pPr>
      <w:r>
        <w:rPr>
          <w:rFonts w:hint="eastAsia" w:ascii="仿宋" w:hAnsi="仿宋" w:eastAsia="仿宋" w:cs="宋体"/>
          <w:b/>
          <w:color w:val="auto"/>
          <w:kern w:val="0"/>
          <w:sz w:val="24"/>
          <w:lang w:val="en-US" w:eastAsia="zh-CN"/>
        </w:rPr>
        <w:t>本项目运营期废气主要为清洗光学模块产生的有机废气、处理元件产生的HF废气和焊接产生的焊接烟气。</w:t>
      </w: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1）有机废气：本项目使用酒精、异丙醇、丙酮等有机溶剂清洗光纤等光学模块，清洗过程在制造中心3F超声清洗机内进行，过程全程加盖，废气主要污染物为非甲烷总烃，有机废气通过集气罩收集后进入制造中心楼顶PP净化+活性炭吸附处理后经25m高排气筒外排。</w:t>
      </w: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2）HF废气：本项目使用HF对元件进行处理，整个清洗过程均在制造中心3F厂房化学间内的通风橱内进行，主要污染物为氟化物，HF废气经通风橱顶部集气装置收集后通过管道进入制造中心楼顶PP净化+活性炭吸附处理后经25m高排气筒外排。</w:t>
      </w: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3）焊接烟气：制造中心2F为本项目中试部门，涉及少量的焊接工艺，焊接过程产生的焊接烟气，主要污染物为锡及其化合物，焊接烟气经过集气罩收集后通过制造中心楼顶PP净化+活性炭吸附装置处理后经25m排气筒外排。</w:t>
      </w: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无组织废气：无组织废气主要来源于手工擦拭过程，擦拭过程均在洁净车间内进行，清洗剂的用量较少，且洁净车间本身属于相对封闭的车间，减少了项目无组织废气对周边环境的影响。</w:t>
      </w:r>
    </w:p>
    <w:p>
      <w:pPr>
        <w:numPr>
          <w:ilvl w:val="0"/>
          <w:numId w:val="3"/>
        </w:numPr>
        <w:spacing w:line="440" w:lineRule="exact"/>
        <w:ind w:firstLine="482" w:firstLineChars="200"/>
        <w:rPr>
          <w:rFonts w:ascii="仿宋" w:hAnsi="仿宋" w:eastAsia="仿宋" w:cs="宋体"/>
          <w:b/>
          <w:color w:val="auto"/>
          <w:kern w:val="0"/>
          <w:sz w:val="24"/>
        </w:rPr>
      </w:pPr>
      <w:r>
        <w:rPr>
          <w:rFonts w:hint="eastAsia" w:ascii="仿宋" w:hAnsi="仿宋" w:eastAsia="仿宋" w:cs="宋体"/>
          <w:b/>
          <w:color w:val="auto"/>
          <w:kern w:val="0"/>
          <w:sz w:val="24"/>
        </w:rPr>
        <w:t>噪声</w:t>
      </w:r>
    </w:p>
    <w:p>
      <w:pPr>
        <w:numPr>
          <w:ilvl w:val="0"/>
          <w:numId w:val="0"/>
        </w:numPr>
        <w:spacing w:line="440" w:lineRule="exact"/>
        <w:ind w:firstLine="482" w:firstLineChars="200"/>
        <w:rPr>
          <w:rFonts w:hint="eastAsia" w:ascii="仿宋" w:hAnsi="仿宋" w:eastAsia="仿宋" w:cs="宋体"/>
          <w:b/>
          <w:color w:val="auto"/>
          <w:kern w:val="0"/>
          <w:sz w:val="24"/>
          <w:lang w:val="en-US" w:eastAsia="zh-CN"/>
        </w:rPr>
      </w:pPr>
      <w:r>
        <w:rPr>
          <w:rFonts w:hint="eastAsia" w:ascii="仿宋" w:hAnsi="仿宋" w:eastAsia="仿宋" w:cs="宋体"/>
          <w:b/>
          <w:color w:val="auto"/>
          <w:kern w:val="0"/>
          <w:sz w:val="24"/>
          <w:lang w:val="en-US" w:eastAsia="zh-CN"/>
        </w:rPr>
        <w:t>本项目运营期产生的噪声主要空调机房及车间内各设备运行时产生的噪声，项目通过选用低噪声设备、合理布局，采取厂房建筑隔声、减震、距离衰减等措施进行防治。</w:t>
      </w:r>
    </w:p>
    <w:p>
      <w:pPr>
        <w:numPr>
          <w:ilvl w:val="0"/>
          <w:numId w:val="0"/>
        </w:numPr>
        <w:spacing w:line="440" w:lineRule="exact"/>
        <w:ind w:firstLine="482" w:firstLineChars="200"/>
        <w:rPr>
          <w:rFonts w:ascii="仿宋" w:hAnsi="仿宋" w:eastAsia="仿宋" w:cs="宋体"/>
          <w:b/>
          <w:color w:val="auto"/>
          <w:kern w:val="0"/>
          <w:sz w:val="24"/>
        </w:rPr>
      </w:pPr>
      <w:r>
        <w:rPr>
          <w:rFonts w:hint="eastAsia" w:ascii="仿宋" w:hAnsi="仿宋" w:eastAsia="仿宋" w:cs="宋体"/>
          <w:b/>
          <w:color w:val="auto"/>
          <w:kern w:val="0"/>
          <w:sz w:val="24"/>
          <w:lang w:val="en-US" w:eastAsia="zh-CN"/>
        </w:rPr>
        <w:t>4、</w:t>
      </w:r>
      <w:r>
        <w:rPr>
          <w:rFonts w:hint="eastAsia" w:ascii="仿宋" w:hAnsi="仿宋" w:eastAsia="仿宋" w:cs="宋体"/>
          <w:b/>
          <w:color w:val="auto"/>
          <w:kern w:val="0"/>
          <w:sz w:val="24"/>
        </w:rPr>
        <w:t>固体废物</w:t>
      </w:r>
    </w:p>
    <w:p>
      <w:pPr>
        <w:spacing w:line="440" w:lineRule="exact"/>
        <w:ind w:firstLine="482" w:firstLineChars="200"/>
        <w:jc w:val="left"/>
        <w:outlineLvl w:val="0"/>
        <w:rPr>
          <w:rFonts w:hint="eastAsia" w:ascii="仿宋" w:hAnsi="仿宋" w:eastAsia="仿宋"/>
          <w:b/>
          <w:color w:val="auto"/>
          <w:sz w:val="24"/>
        </w:rPr>
      </w:pPr>
      <w:r>
        <w:rPr>
          <w:rFonts w:hint="eastAsia" w:ascii="仿宋" w:hAnsi="仿宋" w:eastAsia="仿宋"/>
          <w:b/>
          <w:color w:val="auto"/>
          <w:sz w:val="24"/>
        </w:rPr>
        <w:t>一般固体废物：本项目一般固体废物主要为废包装物以及维修焊接过程产生的锡渣，集中收集后由当地环卫部门定期清运处置。</w:t>
      </w:r>
    </w:p>
    <w:p>
      <w:pPr>
        <w:spacing w:line="440" w:lineRule="exact"/>
        <w:ind w:firstLine="482" w:firstLineChars="200"/>
        <w:jc w:val="left"/>
        <w:outlineLvl w:val="0"/>
        <w:rPr>
          <w:rFonts w:hint="eastAsia" w:ascii="仿宋" w:hAnsi="仿宋" w:eastAsia="仿宋"/>
          <w:b/>
          <w:color w:val="auto"/>
          <w:sz w:val="24"/>
        </w:rPr>
      </w:pPr>
      <w:r>
        <w:rPr>
          <w:rFonts w:hint="eastAsia" w:ascii="仿宋" w:hAnsi="仿宋" w:eastAsia="仿宋"/>
          <w:b/>
          <w:color w:val="auto"/>
          <w:sz w:val="24"/>
        </w:rPr>
        <w:t>危险废物：本项目产生的危险废物主要为废有机溶剂（HW06）、废无尘纸、废有机溶剂和废酸包装物（HW49）、废活性炭（HW49）、废PP净化塔填料（HW49）和废酸（HW34）等，其中废酸通过管道输送至制造中心1楼南侧的废酸暂存间暂存后作为危险废物委托武汉创盛环保科技有限公司处置；其余危险废物暂存于制造中心1楼西北角的危废暂存间暂存后委托武汉创盛环保科技有限公司或黄冈TCL环境科技有限公司处置。</w:t>
      </w:r>
    </w:p>
    <w:p>
      <w:pPr>
        <w:spacing w:line="440" w:lineRule="exact"/>
        <w:jc w:val="left"/>
        <w:outlineLvl w:val="0"/>
        <w:rPr>
          <w:rFonts w:ascii="仿宋" w:hAnsi="仿宋" w:eastAsia="仿宋"/>
          <w:b/>
          <w:color w:val="auto"/>
          <w:sz w:val="24"/>
        </w:rPr>
      </w:pPr>
      <w:r>
        <w:rPr>
          <w:rFonts w:hint="eastAsia" w:ascii="仿宋" w:hAnsi="仿宋" w:eastAsia="仿宋"/>
          <w:b/>
          <w:color w:val="auto"/>
          <w:sz w:val="24"/>
        </w:rPr>
        <w:t>四</w:t>
      </w:r>
      <w:r>
        <w:rPr>
          <w:rFonts w:ascii="仿宋" w:hAnsi="仿宋" w:eastAsia="仿宋"/>
          <w:b/>
          <w:color w:val="auto"/>
          <w:sz w:val="24"/>
        </w:rPr>
        <w:t>、环境保护设施调试效果</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1、废水</w:t>
      </w:r>
    </w:p>
    <w:p>
      <w:pPr>
        <w:widowControl/>
        <w:spacing w:line="440" w:lineRule="exact"/>
        <w:ind w:firstLine="482" w:firstLineChars="200"/>
        <w:jc w:val="left"/>
        <w:rPr>
          <w:rFonts w:hint="eastAsia" w:ascii="仿宋" w:hAnsi="仿宋" w:eastAsia="仿宋" w:cs="宋体"/>
          <w:b/>
          <w:color w:val="auto"/>
          <w:kern w:val="0"/>
          <w:sz w:val="24"/>
        </w:rPr>
      </w:pPr>
      <w:r>
        <w:rPr>
          <w:rFonts w:hint="eastAsia" w:ascii="仿宋" w:hAnsi="仿宋" w:eastAsia="仿宋" w:cs="宋体"/>
          <w:b/>
          <w:color w:val="auto"/>
          <w:kern w:val="0"/>
          <w:sz w:val="24"/>
        </w:rPr>
        <w:t>本次监测，园区污水总排口中pH值、悬浮物、五日生化需氧量、化学需氧量、氨氮监测结果均符合豹澥污水处理厂进水标准要求；动植物油监测结果符合《污水排入城镇下水道水质标准》GBT31962-2015 表1B级标准要求。</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2、废气</w:t>
      </w:r>
    </w:p>
    <w:p>
      <w:pPr>
        <w:widowControl/>
        <w:spacing w:line="440" w:lineRule="exact"/>
        <w:ind w:firstLine="482" w:firstLineChars="200"/>
        <w:jc w:val="left"/>
        <w:rPr>
          <w:rFonts w:hint="default" w:ascii="仿宋" w:hAnsi="仿宋" w:eastAsia="仿宋" w:cs="宋体"/>
          <w:b/>
          <w:color w:val="auto"/>
          <w:kern w:val="0"/>
          <w:sz w:val="24"/>
          <w:lang w:val="en-US" w:eastAsia="zh-CN"/>
        </w:rPr>
      </w:pPr>
      <w:r>
        <w:rPr>
          <w:rFonts w:hint="eastAsia" w:ascii="仿宋" w:hAnsi="仿宋" w:eastAsia="仿宋" w:cs="宋体"/>
          <w:b/>
          <w:color w:val="auto"/>
          <w:kern w:val="0"/>
          <w:sz w:val="24"/>
        </w:rPr>
        <w:t>有组织废气：</w:t>
      </w:r>
      <w:r>
        <w:rPr>
          <w:rFonts w:hint="default" w:ascii="仿宋" w:hAnsi="仿宋" w:eastAsia="仿宋" w:cs="宋体"/>
          <w:b/>
          <w:color w:val="auto"/>
          <w:kern w:val="0"/>
          <w:sz w:val="24"/>
          <w:lang w:val="en-US" w:eastAsia="zh-CN"/>
        </w:rPr>
        <w:t>本次监测，制造中心楼顶废气处理设施出口中非甲烷总烃的排放浓度符合《电子工业污染物排放标准（二次征求意见稿）》表5中非甲烷总烃限值，锡及其化合物、氟化物排放浓度、排放速率均符合《大气污染物综合排放标准》（GB16297-1996）表2二级标准（排放速率严格50%）。</w:t>
      </w:r>
    </w:p>
    <w:p>
      <w:pPr>
        <w:widowControl/>
        <w:spacing w:line="440" w:lineRule="exact"/>
        <w:ind w:firstLine="482" w:firstLineChars="200"/>
        <w:jc w:val="left"/>
        <w:rPr>
          <w:rFonts w:hint="default" w:ascii="仿宋" w:hAnsi="仿宋" w:eastAsia="仿宋" w:cs="宋体"/>
          <w:b/>
          <w:color w:val="auto"/>
          <w:kern w:val="0"/>
          <w:sz w:val="24"/>
          <w:lang w:val="en-US" w:eastAsia="zh-CN"/>
        </w:rPr>
      </w:pPr>
      <w:r>
        <w:rPr>
          <w:rFonts w:hint="default" w:ascii="仿宋" w:hAnsi="仿宋" w:eastAsia="仿宋" w:cs="宋体"/>
          <w:b/>
          <w:color w:val="auto"/>
          <w:kern w:val="0"/>
          <w:sz w:val="24"/>
          <w:lang w:val="en-US" w:eastAsia="zh-CN"/>
        </w:rPr>
        <w:t>无组织废气：本次监测，</w:t>
      </w:r>
      <w:r>
        <w:rPr>
          <w:rFonts w:hint="eastAsia" w:ascii="仿宋" w:hAnsi="仿宋" w:eastAsia="仿宋" w:cs="宋体"/>
          <w:b/>
          <w:color w:val="auto"/>
          <w:kern w:val="0"/>
          <w:sz w:val="24"/>
          <w:lang w:val="en-US" w:eastAsia="zh-CN"/>
        </w:rPr>
        <w:t>制造中心厂房外四周</w:t>
      </w:r>
      <w:r>
        <w:rPr>
          <w:rFonts w:hint="default" w:ascii="仿宋" w:hAnsi="仿宋" w:eastAsia="仿宋" w:cs="宋体"/>
          <w:b/>
          <w:color w:val="auto"/>
          <w:kern w:val="0"/>
          <w:sz w:val="24"/>
          <w:lang w:val="en-US" w:eastAsia="zh-CN"/>
        </w:rPr>
        <w:t>无组织废气中</w:t>
      </w:r>
      <w:r>
        <w:rPr>
          <w:rFonts w:hint="eastAsia" w:ascii="仿宋" w:hAnsi="仿宋" w:eastAsia="仿宋" w:cs="宋体"/>
          <w:b/>
          <w:color w:val="auto"/>
          <w:kern w:val="0"/>
          <w:sz w:val="24"/>
          <w:lang w:val="en-US" w:eastAsia="zh-CN"/>
        </w:rPr>
        <w:t>非甲烷总烃监测结果最大值为1.47</w:t>
      </w:r>
      <w:r>
        <w:rPr>
          <w:rFonts w:hint="default" w:ascii="仿宋" w:hAnsi="仿宋" w:eastAsia="仿宋" w:cs="宋体"/>
          <w:b/>
          <w:color w:val="auto"/>
          <w:kern w:val="0"/>
          <w:sz w:val="24"/>
          <w:lang w:val="en-US" w:eastAsia="zh-CN"/>
        </w:rPr>
        <w:t>mg/m3</w:t>
      </w:r>
      <w:r>
        <w:rPr>
          <w:rFonts w:hint="eastAsia" w:ascii="仿宋" w:hAnsi="仿宋" w:eastAsia="仿宋" w:cs="宋体"/>
          <w:b/>
          <w:color w:val="auto"/>
          <w:kern w:val="0"/>
          <w:sz w:val="24"/>
          <w:lang w:val="en-US" w:eastAsia="zh-CN"/>
        </w:rPr>
        <w:t>，</w:t>
      </w:r>
      <w:r>
        <w:rPr>
          <w:rFonts w:hint="default" w:ascii="仿宋" w:hAnsi="仿宋" w:eastAsia="仿宋" w:cs="宋体"/>
          <w:b/>
          <w:color w:val="auto"/>
          <w:kern w:val="0"/>
          <w:sz w:val="24"/>
          <w:lang w:val="en-US" w:eastAsia="zh-CN"/>
        </w:rPr>
        <w:t>符合《挥发性有机物无组织排放控制标准》（GB37822-2019）表A.1非甲烷总烃监控点处1h平均浓度特别排放限值</w:t>
      </w:r>
      <w:r>
        <w:rPr>
          <w:rFonts w:hint="eastAsia" w:ascii="仿宋" w:hAnsi="仿宋" w:eastAsia="仿宋" w:cs="宋体"/>
          <w:b/>
          <w:color w:val="auto"/>
          <w:kern w:val="0"/>
          <w:sz w:val="24"/>
          <w:lang w:val="en-US" w:eastAsia="zh-CN"/>
        </w:rPr>
        <w:t>。</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3、噪声</w:t>
      </w:r>
    </w:p>
    <w:p>
      <w:pPr>
        <w:widowControl/>
        <w:spacing w:line="440" w:lineRule="exact"/>
        <w:ind w:firstLine="482" w:firstLineChars="200"/>
        <w:jc w:val="left"/>
        <w:rPr>
          <w:rFonts w:hint="eastAsia" w:ascii="仿宋" w:hAnsi="仿宋" w:eastAsia="仿宋" w:cs="宋体"/>
          <w:b/>
          <w:color w:val="auto"/>
          <w:kern w:val="0"/>
          <w:sz w:val="24"/>
        </w:rPr>
      </w:pPr>
      <w:r>
        <w:rPr>
          <w:rFonts w:hint="eastAsia" w:ascii="仿宋" w:hAnsi="仿宋" w:eastAsia="仿宋" w:cs="宋体"/>
          <w:b/>
          <w:color w:val="auto"/>
          <w:kern w:val="0"/>
          <w:sz w:val="24"/>
        </w:rPr>
        <w:t>该项目所在厂区厂界东外1m处、厂界南外1m处、厂界北外1m处业企业《厂界环境噪声排放标准》（GB12348-2008)4类标准限值要求；厂界西外1m处噪声昼间、夜间监测结果均符合《工业企业厂界环境噪声排放标准》（GB12348-2008)2类标准限值要求。</w:t>
      </w:r>
    </w:p>
    <w:p>
      <w:pPr>
        <w:widowControl/>
        <w:numPr>
          <w:ilvl w:val="0"/>
          <w:numId w:val="3"/>
        </w:numPr>
        <w:spacing w:line="440" w:lineRule="exact"/>
        <w:ind w:left="0" w:leftChars="0" w:firstLine="482" w:firstLineChars="200"/>
        <w:jc w:val="left"/>
        <w:rPr>
          <w:rFonts w:hint="eastAsia" w:ascii="仿宋" w:hAnsi="仿宋" w:eastAsia="仿宋" w:cs="宋体"/>
          <w:b/>
          <w:color w:val="auto"/>
          <w:kern w:val="0"/>
          <w:sz w:val="24"/>
        </w:rPr>
      </w:pPr>
      <w:r>
        <w:rPr>
          <w:rFonts w:hint="eastAsia" w:ascii="仿宋" w:hAnsi="仿宋" w:eastAsia="仿宋" w:cs="宋体"/>
          <w:b/>
          <w:color w:val="auto"/>
          <w:kern w:val="0"/>
          <w:sz w:val="24"/>
        </w:rPr>
        <w:t>总量控制</w:t>
      </w:r>
    </w:p>
    <w:p>
      <w:pPr>
        <w:widowControl/>
        <w:numPr>
          <w:ilvl w:val="0"/>
          <w:numId w:val="0"/>
        </w:numPr>
        <w:spacing w:line="440" w:lineRule="exact"/>
        <w:ind w:firstLine="482" w:firstLineChars="200"/>
        <w:jc w:val="left"/>
        <w:rPr>
          <w:rFonts w:hint="default" w:ascii="仿宋" w:hAnsi="仿宋" w:eastAsia="仿宋"/>
          <w:b/>
          <w:color w:val="auto"/>
          <w:sz w:val="24"/>
        </w:rPr>
      </w:pPr>
      <w:r>
        <w:rPr>
          <w:rFonts w:hint="eastAsia" w:ascii="仿宋" w:hAnsi="仿宋" w:eastAsia="仿宋"/>
          <w:b/>
          <w:color w:val="auto"/>
          <w:sz w:val="24"/>
          <w:lang w:val="en-US" w:eastAsia="zh-CN"/>
        </w:rPr>
        <w:t>本项目废水中COD、氨氮排放量按末端排放量计算分别为0.27t/a、0.027t/a；废气中挥发性有机物的年排放量满足环评总量控制要求。</w:t>
      </w:r>
    </w:p>
    <w:p>
      <w:pPr>
        <w:widowControl/>
        <w:numPr>
          <w:ilvl w:val="0"/>
          <w:numId w:val="4"/>
        </w:numPr>
        <w:spacing w:line="440" w:lineRule="exact"/>
        <w:ind w:firstLine="482" w:firstLineChars="200"/>
        <w:jc w:val="left"/>
        <w:rPr>
          <w:rFonts w:ascii="仿宋" w:hAnsi="仿宋" w:eastAsia="仿宋"/>
          <w:b/>
          <w:color w:val="auto"/>
          <w:sz w:val="24"/>
        </w:rPr>
      </w:pPr>
      <w:r>
        <w:rPr>
          <w:rFonts w:ascii="仿宋" w:hAnsi="仿宋" w:eastAsia="仿宋"/>
          <w:b/>
          <w:color w:val="auto"/>
          <w:sz w:val="24"/>
        </w:rPr>
        <w:t>后续要求与建议</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1、补充环保设施运行记录和维护记录。</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2、进一步核实污染物总量指标。</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3、按照GB18597和HJ1259的要求，进一步规范危险废物暂存间管理、完善危险废物计划管理。</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4、按照HJ1031的要求，核实排污许可证的覆盖范围或区域。</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5、充实环境管理制度落实等内容，说明项目建设期和试运行期是否涉及环境纠纷、环保处罚等情况。 </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七、验收结论</w:t>
      </w:r>
    </w:p>
    <w:p>
      <w:pPr>
        <w:widowControl/>
        <w:spacing w:line="440" w:lineRule="exact"/>
        <w:ind w:firstLine="482" w:firstLineChars="200"/>
        <w:jc w:val="left"/>
        <w:rPr>
          <w:rFonts w:ascii="仿宋" w:hAnsi="仿宋" w:eastAsia="仿宋" w:cs="仿宋"/>
          <w:b/>
          <w:bCs/>
          <w:color w:val="auto"/>
          <w:kern w:val="0"/>
          <w:sz w:val="24"/>
        </w:rPr>
      </w:pPr>
      <w:r>
        <w:rPr>
          <w:rFonts w:hint="eastAsia" w:ascii="仿宋" w:hAnsi="仿宋" w:eastAsia="仿宋" w:cs="仿宋"/>
          <w:b/>
          <w:color w:val="auto"/>
          <w:kern w:val="0"/>
          <w:sz w:val="24"/>
          <w:lang w:eastAsia="zh-CN"/>
        </w:rPr>
        <w:t>武汉锐科光纤激光技术股份有限公司大功率光纤激光器开发及产业化项目（重新报批）</w:t>
      </w:r>
      <w:r>
        <w:rPr>
          <w:rFonts w:hint="eastAsia" w:ascii="仿宋" w:hAnsi="仿宋" w:eastAsia="仿宋" w:cs="仿宋"/>
          <w:b/>
          <w:color w:val="auto"/>
          <w:kern w:val="0"/>
          <w:sz w:val="24"/>
        </w:rPr>
        <w:t>在</w:t>
      </w:r>
      <w:r>
        <w:rPr>
          <w:rFonts w:hint="eastAsia" w:ascii="仿宋" w:hAnsi="仿宋" w:eastAsia="仿宋" w:cs="仿宋"/>
          <w:b/>
          <w:bCs/>
          <w:color w:val="auto"/>
          <w:kern w:val="0"/>
          <w:sz w:val="24"/>
        </w:rPr>
        <w:t>实施过程中，按照国家建设项目环境保护“三同时”制度，落实了环评报告表及其审批文件中提出的污染防治措施，建设地点、建设性质、建设规模、工艺流程和环保设施等无重大变更。从验收监测单位提供的监测结果来看，项目产生的各类污染物排放满足相关标准要求。验收组结合现场实际情况认为，本项目总体符合建设项目竣工环保验收条件。</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八、验收人员信息</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验收工作组成员名单及信息附后。</w:t>
      </w:r>
    </w:p>
    <w:p>
      <w:pPr>
        <w:spacing w:line="360" w:lineRule="auto"/>
        <w:jc w:val="right"/>
        <w:rPr>
          <w:rFonts w:ascii="仿宋" w:hAnsi="仿宋" w:eastAsia="仿宋" w:cs="仿宋"/>
          <w:b/>
          <w:color w:val="auto"/>
          <w:kern w:val="0"/>
          <w:sz w:val="24"/>
        </w:rPr>
      </w:pPr>
    </w:p>
    <w:p>
      <w:pPr>
        <w:pStyle w:val="2"/>
        <w:rPr>
          <w:rFonts w:ascii="仿宋" w:hAnsi="仿宋" w:eastAsia="仿宋" w:cs="仿宋"/>
          <w:b/>
          <w:color w:val="auto"/>
        </w:rPr>
      </w:pPr>
    </w:p>
    <w:p>
      <w:pPr>
        <w:pStyle w:val="4"/>
        <w:rPr>
          <w:color w:val="auto"/>
        </w:rPr>
      </w:pPr>
    </w:p>
    <w:p>
      <w:pPr>
        <w:spacing w:line="360" w:lineRule="auto"/>
        <w:jc w:val="right"/>
        <w:rPr>
          <w:rFonts w:hint="eastAsia" w:ascii="仿宋" w:hAnsi="仿宋" w:eastAsia="仿宋" w:cs="仿宋"/>
          <w:b/>
          <w:color w:val="auto"/>
          <w:kern w:val="0"/>
          <w:sz w:val="24"/>
          <w:lang w:eastAsia="zh-CN"/>
        </w:rPr>
      </w:pPr>
      <w:r>
        <w:rPr>
          <w:rFonts w:hint="eastAsia" w:ascii="仿宋" w:hAnsi="仿宋" w:eastAsia="仿宋" w:cs="仿宋"/>
          <w:b/>
          <w:color w:val="auto"/>
          <w:kern w:val="0"/>
          <w:sz w:val="24"/>
          <w:lang w:eastAsia="zh-CN"/>
        </w:rPr>
        <w:t>武汉锐科光纤激光技术股份有限公司大功率光纤激光器开发及产业化项目（重新报批）</w:t>
      </w:r>
    </w:p>
    <w:p>
      <w:pPr>
        <w:spacing w:line="360" w:lineRule="auto"/>
        <w:jc w:val="right"/>
        <w:rPr>
          <w:rFonts w:ascii="仿宋" w:hAnsi="仿宋" w:eastAsia="仿宋"/>
          <w:b/>
          <w:color w:val="auto"/>
          <w:sz w:val="24"/>
        </w:rPr>
      </w:pPr>
      <w:r>
        <w:rPr>
          <w:rFonts w:hint="eastAsia" w:ascii="仿宋" w:hAnsi="仿宋" w:eastAsia="仿宋"/>
          <w:b/>
          <w:color w:val="auto"/>
          <w:sz w:val="24"/>
        </w:rPr>
        <w:t>环保</w:t>
      </w:r>
      <w:r>
        <w:rPr>
          <w:rFonts w:ascii="仿宋" w:hAnsi="仿宋" w:eastAsia="仿宋"/>
          <w:b/>
          <w:color w:val="auto"/>
          <w:sz w:val="24"/>
        </w:rPr>
        <w:t>验收组</w:t>
      </w:r>
    </w:p>
    <w:p>
      <w:pPr>
        <w:pStyle w:val="2"/>
        <w:spacing w:line="360" w:lineRule="auto"/>
        <w:jc w:val="right"/>
        <w:rPr>
          <w:rFonts w:hint="eastAsia" w:ascii="仿宋" w:hAnsi="仿宋" w:eastAsia="仿宋" w:cs="仿宋"/>
          <w:b/>
          <w:color w:val="auto"/>
        </w:rPr>
      </w:pPr>
      <w:r>
        <w:rPr>
          <w:rFonts w:ascii="仿宋" w:hAnsi="仿宋" w:eastAsia="仿宋" w:cs="仿宋"/>
          <w:b/>
          <w:color w:val="auto"/>
        </w:rPr>
        <w:t>202</w:t>
      </w:r>
      <w:r>
        <w:rPr>
          <w:rFonts w:hint="eastAsia" w:ascii="仿宋" w:hAnsi="仿宋" w:eastAsia="仿宋" w:cs="仿宋"/>
          <w:b/>
          <w:color w:val="auto"/>
          <w:lang w:val="en-US" w:eastAsia="zh-CN"/>
        </w:rPr>
        <w:t>2</w:t>
      </w:r>
      <w:r>
        <w:rPr>
          <w:rFonts w:ascii="仿宋" w:hAnsi="仿宋" w:eastAsia="仿宋" w:cs="仿宋"/>
          <w:b/>
          <w:color w:val="auto"/>
        </w:rPr>
        <w:t>年</w:t>
      </w:r>
      <w:r>
        <w:rPr>
          <w:rFonts w:hint="eastAsia" w:ascii="仿宋" w:hAnsi="仿宋" w:eastAsia="仿宋" w:cs="仿宋"/>
          <w:b/>
          <w:color w:val="auto"/>
          <w:lang w:val="en-US" w:eastAsia="zh-CN"/>
        </w:rPr>
        <w:t>12</w:t>
      </w:r>
      <w:r>
        <w:rPr>
          <w:rFonts w:ascii="仿宋" w:hAnsi="仿宋" w:eastAsia="仿宋" w:cs="仿宋"/>
          <w:b/>
          <w:color w:val="auto"/>
        </w:rPr>
        <w:t>月</w:t>
      </w:r>
      <w:r>
        <w:rPr>
          <w:rFonts w:hint="eastAsia" w:ascii="仿宋" w:hAnsi="仿宋" w:eastAsia="仿宋" w:cs="仿宋"/>
          <w:b/>
          <w:color w:val="auto"/>
          <w:lang w:val="en-US" w:eastAsia="zh-CN"/>
        </w:rPr>
        <w:t>07</w:t>
      </w:r>
      <w:r>
        <w:rPr>
          <w:rFonts w:hint="eastAsia" w:ascii="仿宋" w:hAnsi="仿宋" w:eastAsia="仿宋" w:cs="仿宋"/>
          <w:b/>
          <w:color w:val="auto"/>
        </w:rPr>
        <w:t>日</w:t>
      </w:r>
    </w:p>
    <w:p>
      <w:pPr>
        <w:pStyle w:val="4"/>
        <w:rPr>
          <w:rFonts w:hint="eastAsia" w:ascii="仿宋" w:hAnsi="仿宋" w:eastAsia="仿宋" w:cs="仿宋"/>
          <w:b/>
          <w:color w:val="auto"/>
        </w:rPr>
      </w:pPr>
    </w:p>
    <w:p>
      <w:pPr>
        <w:pStyle w:val="4"/>
        <w:rPr>
          <w:rFonts w:hint="eastAsia" w:ascii="仿宋" w:hAnsi="仿宋" w:eastAsia="仿宋" w:cs="仿宋"/>
          <w:b/>
          <w:color w:val="auto"/>
        </w:rPr>
      </w:pPr>
    </w:p>
    <w:p>
      <w:pPr>
        <w:pStyle w:val="4"/>
        <w:rPr>
          <w:rFonts w:hint="eastAsia" w:ascii="仿宋" w:hAnsi="仿宋" w:eastAsia="仿宋" w:cs="仿宋"/>
          <w:b/>
          <w:color w:val="auto"/>
        </w:rPr>
      </w:pPr>
    </w:p>
    <w:p>
      <w:pPr>
        <w:pStyle w:val="4"/>
        <w:rPr>
          <w:rFonts w:hint="eastAsia" w:ascii="仿宋" w:hAnsi="仿宋" w:eastAsia="仿宋" w:cs="仿宋"/>
          <w:b/>
          <w:color w:val="auto"/>
        </w:rPr>
      </w:pPr>
    </w:p>
    <w:p>
      <w:pPr>
        <w:pStyle w:val="4"/>
        <w:rPr>
          <w:rFonts w:hint="eastAsia" w:ascii="仿宋" w:hAnsi="仿宋" w:eastAsia="仿宋" w:cs="仿宋"/>
          <w:b/>
          <w:color w:val="auto"/>
        </w:rPr>
      </w:pPr>
    </w:p>
    <w:p>
      <w:pPr>
        <w:pStyle w:val="4"/>
        <w:rPr>
          <w:rFonts w:hint="eastAsia" w:ascii="仿宋" w:hAnsi="仿宋" w:eastAsia="仿宋" w:cs="仿宋"/>
          <w:b/>
          <w:color w:val="auto"/>
        </w:rPr>
      </w:pPr>
    </w:p>
    <w:p>
      <w:pPr>
        <w:pStyle w:val="4"/>
        <w:rPr>
          <w:rFonts w:hint="eastAsia" w:ascii="仿宋" w:hAnsi="仿宋" w:eastAsia="仿宋" w:cs="仿宋"/>
          <w:b/>
          <w:color w:val="auto"/>
        </w:rPr>
      </w:pPr>
    </w:p>
    <w:p>
      <w:pPr>
        <w:pStyle w:val="4"/>
        <w:rPr>
          <w:rFonts w:hint="eastAsia" w:ascii="仿宋" w:hAnsi="仿宋" w:eastAsia="仿宋" w:cs="仿宋"/>
          <w:b/>
          <w:color w:val="auto"/>
        </w:rPr>
      </w:pPr>
    </w:p>
    <w:p>
      <w:pPr>
        <w:pStyle w:val="4"/>
        <w:rPr>
          <w:rFonts w:hint="eastAsia" w:ascii="仿宋" w:hAnsi="仿宋" w:eastAsia="仿宋" w:cs="仿宋"/>
          <w:b/>
          <w:color w:val="auto"/>
        </w:rPr>
      </w:pPr>
    </w:p>
    <w:p>
      <w:pPr>
        <w:pStyle w:val="4"/>
        <w:rPr>
          <w:rFonts w:hint="eastAsia" w:ascii="仿宋" w:hAnsi="仿宋" w:eastAsia="仿宋" w:cs="仿宋"/>
          <w:b/>
          <w:color w:val="auto"/>
        </w:rPr>
      </w:pPr>
    </w:p>
    <w:p>
      <w:pPr>
        <w:pStyle w:val="4"/>
        <w:rPr>
          <w:rFonts w:hint="eastAsia" w:ascii="仿宋" w:hAnsi="仿宋" w:eastAsia="仿宋" w:cs="仿宋"/>
          <w:b/>
          <w:color w:val="auto"/>
        </w:rPr>
      </w:pPr>
    </w:p>
    <w:p>
      <w:pPr>
        <w:pStyle w:val="4"/>
        <w:rPr>
          <w:rFonts w:hint="eastAsia" w:ascii="仿宋" w:hAnsi="仿宋" w:eastAsia="仿宋" w:cs="仿宋"/>
          <w:b/>
          <w:color w:val="auto"/>
        </w:rPr>
      </w:pPr>
    </w:p>
    <w:p>
      <w:pPr>
        <w:pStyle w:val="4"/>
        <w:rPr>
          <w:rFonts w:hint="eastAsia" w:ascii="仿宋" w:hAnsi="仿宋" w:eastAsia="仿宋" w:cs="仿宋"/>
          <w:b/>
          <w:color w:val="auto"/>
        </w:rPr>
        <w:sectPr>
          <w:footerReference r:id="rId3" w:type="default"/>
          <w:pgSz w:w="11906" w:h="16838"/>
          <w:pgMar w:top="1440" w:right="1080" w:bottom="1440" w:left="1080" w:header="851" w:footer="992" w:gutter="0"/>
          <w:cols w:space="0" w:num="1"/>
          <w:docGrid w:type="lines" w:linePitch="319" w:charSpace="0"/>
        </w:sectPr>
      </w:pPr>
    </w:p>
    <w:p>
      <w:pPr>
        <w:pStyle w:val="4"/>
        <w:rPr>
          <w:rFonts w:hint="eastAsia" w:ascii="仿宋" w:hAnsi="仿宋" w:eastAsia="仿宋" w:cs="仿宋"/>
          <w:b/>
          <w:color w:val="auto"/>
        </w:rPr>
      </w:pPr>
      <w:r>
        <w:rPr>
          <w:rFonts w:hint="eastAsia"/>
          <w:lang w:val="en-US" w:eastAsia="zh-CN"/>
        </w:rPr>
        <w:drawing>
          <wp:inline distT="0" distB="0" distL="114300" distR="114300">
            <wp:extent cx="6186170" cy="8409305"/>
            <wp:effectExtent l="0" t="0" r="5080" b="10795"/>
            <wp:docPr id="3" name="图片 1" descr="2022120916570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20221209165702-0001"/>
                    <pic:cNvPicPr>
                      <a:picLocks noChangeAspect="1"/>
                    </pic:cNvPicPr>
                  </pic:nvPicPr>
                  <pic:blipFill>
                    <a:blip r:embed="rId6"/>
                    <a:stretch>
                      <a:fillRect/>
                    </a:stretch>
                  </pic:blipFill>
                  <pic:spPr>
                    <a:xfrm>
                      <a:off x="0" y="0"/>
                      <a:ext cx="6186170" cy="8409305"/>
                    </a:xfrm>
                    <a:prstGeom prst="rect">
                      <a:avLst/>
                    </a:prstGeom>
                    <a:noFill/>
                    <a:ln>
                      <a:noFill/>
                    </a:ln>
                  </pic:spPr>
                </pic:pic>
              </a:graphicData>
            </a:graphic>
          </wp:inline>
        </w:drawing>
      </w:r>
      <w:bookmarkStart w:id="0" w:name="_GoBack"/>
      <w:bookmarkEnd w:id="0"/>
    </w:p>
    <w:p>
      <w:pPr>
        <w:pStyle w:val="4"/>
        <w:rPr>
          <w:rFonts w:hint="eastAsia" w:eastAsia="仿宋"/>
          <w:color w:val="auto"/>
          <w:lang w:eastAsia="zh-CN"/>
        </w:rPr>
      </w:pPr>
    </w:p>
    <w:sectPr>
      <w:footerReference r:id="rId4" w:type="default"/>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520F8"/>
    <w:multiLevelType w:val="singleLevel"/>
    <w:tmpl w:val="D07520F8"/>
    <w:lvl w:ilvl="0" w:tentative="0">
      <w:start w:val="6"/>
      <w:numFmt w:val="chineseCounting"/>
      <w:suff w:val="nothing"/>
      <w:lvlText w:val="%1、"/>
      <w:lvlJc w:val="left"/>
      <w:rPr>
        <w:rFonts w:hint="eastAsia"/>
      </w:rPr>
    </w:lvl>
  </w:abstractNum>
  <w:abstractNum w:abstractNumId="1">
    <w:nsid w:val="EDA94E28"/>
    <w:multiLevelType w:val="singleLevel"/>
    <w:tmpl w:val="EDA94E28"/>
    <w:lvl w:ilvl="0" w:tentative="0">
      <w:start w:val="3"/>
      <w:numFmt w:val="decimal"/>
      <w:suff w:val="nothing"/>
      <w:lvlText w:val="%1、"/>
      <w:lvlJc w:val="left"/>
    </w:lvl>
  </w:abstractNum>
  <w:abstractNum w:abstractNumId="2">
    <w:nsid w:val="39CD7937"/>
    <w:multiLevelType w:val="singleLevel"/>
    <w:tmpl w:val="39CD7937"/>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3">
    <w:nsid w:val="544D6817"/>
    <w:multiLevelType w:val="multilevel"/>
    <w:tmpl w:val="544D6817"/>
    <w:lvl w:ilvl="0" w:tentative="0">
      <w:start w:val="1"/>
      <w:numFmt w:val="decimal"/>
      <w:pStyle w:val="5"/>
      <w:lvlText w:val="%1"/>
      <w:lvlJc w:val="left"/>
      <w:pPr>
        <w:tabs>
          <w:tab w:val="left" w:pos="432"/>
        </w:tabs>
        <w:ind w:left="432" w:hanging="432"/>
      </w:pPr>
      <w:rPr>
        <w:rFonts w:hint="eastAsia"/>
      </w:rPr>
    </w:lvl>
    <w:lvl w:ilvl="1" w:tentative="0">
      <w:start w:val="1"/>
      <w:numFmt w:val="decimal"/>
      <w:pStyle w:val="6"/>
      <w:lvlText w:val="%2"/>
      <w:lvlJc w:val="left"/>
      <w:pPr>
        <w:tabs>
          <w:tab w:val="left" w:pos="567"/>
        </w:tabs>
        <w:ind w:left="567" w:hanging="567"/>
      </w:pPr>
      <w:rPr>
        <w:rFonts w:hint="eastAsia"/>
      </w:rPr>
    </w:lvl>
    <w:lvl w:ilvl="2" w:tentative="0">
      <w:start w:val="1"/>
      <w:numFmt w:val="decimal"/>
      <w:pStyle w:val="8"/>
      <w:lvlText w:val="%2.%3"/>
      <w:lvlJc w:val="left"/>
      <w:pPr>
        <w:tabs>
          <w:tab w:val="left" w:pos="720"/>
        </w:tabs>
        <w:ind w:left="720" w:hanging="720"/>
      </w:pPr>
      <w:rPr>
        <w:rFonts w:hint="default" w:ascii="Times New Roman" w:hAnsi="Times New Roman" w:cs="Times New Roman"/>
      </w:rPr>
    </w:lvl>
    <w:lvl w:ilvl="3" w:tentative="0">
      <w:start w:val="1"/>
      <w:numFmt w:val="decimal"/>
      <w:pStyle w:val="9"/>
      <w:lvlText w:val="%2.%3.%4"/>
      <w:lvlJc w:val="left"/>
      <w:pPr>
        <w:tabs>
          <w:tab w:val="left" w:pos="1287"/>
        </w:tabs>
        <w:ind w:left="1287" w:hanging="720"/>
      </w:pPr>
      <w:rPr>
        <w:rFonts w:hint="eastAsia"/>
      </w:rPr>
    </w:lvl>
    <w:lvl w:ilvl="4" w:tentative="0">
      <w:start w:val="1"/>
      <w:numFmt w:val="decimal"/>
      <w:pStyle w:val="10"/>
      <w:lvlText w:val="%2.%3.%4.%5"/>
      <w:lvlJc w:val="left"/>
      <w:pPr>
        <w:tabs>
          <w:tab w:val="left" w:pos="720"/>
        </w:tabs>
        <w:ind w:left="0" w:firstLine="0"/>
      </w:pPr>
      <w:rPr>
        <w:rFonts w:hint="default" w:ascii="Times New Roman" w:hAnsi="Times New Roman" w:eastAsia="宋体"/>
        <w:b/>
        <w:i w:val="0"/>
        <w:sz w:val="24"/>
      </w:rPr>
    </w:lvl>
    <w:lvl w:ilvl="5" w:tentative="0">
      <w:start w:val="1"/>
      <w:numFmt w:val="decimal"/>
      <w:pStyle w:val="11"/>
      <w:lvlText w:val="%1.%2.%3.%4.%5.%6"/>
      <w:lvlJc w:val="left"/>
      <w:pPr>
        <w:tabs>
          <w:tab w:val="left" w:pos="1152"/>
        </w:tabs>
        <w:ind w:left="1152" w:hanging="1152"/>
      </w:pPr>
      <w:rPr>
        <w:rFonts w:hint="eastAsia"/>
      </w:rPr>
    </w:lvl>
    <w:lvl w:ilvl="6" w:tentative="0">
      <w:start w:val="1"/>
      <w:numFmt w:val="decimal"/>
      <w:pStyle w:val="12"/>
      <w:lvlText w:val="%1.%2.%3.%4.%5.%6.%7"/>
      <w:lvlJc w:val="left"/>
      <w:pPr>
        <w:tabs>
          <w:tab w:val="left" w:pos="1296"/>
        </w:tabs>
        <w:ind w:left="1296" w:hanging="1296"/>
      </w:pPr>
      <w:rPr>
        <w:rFonts w:hint="eastAsia"/>
      </w:rPr>
    </w:lvl>
    <w:lvl w:ilvl="7" w:tentative="0">
      <w:start w:val="1"/>
      <w:numFmt w:val="decimal"/>
      <w:pStyle w:val="13"/>
      <w:lvlText w:val="%1.%2.%3.%4.%5.%6.%7.%8"/>
      <w:lvlJc w:val="left"/>
      <w:pPr>
        <w:tabs>
          <w:tab w:val="left" w:pos="1440"/>
        </w:tabs>
        <w:ind w:left="1440" w:hanging="1440"/>
      </w:pPr>
      <w:rPr>
        <w:rFonts w:hint="eastAsia"/>
      </w:rPr>
    </w:lvl>
    <w:lvl w:ilvl="8" w:tentative="0">
      <w:start w:val="1"/>
      <w:numFmt w:val="decimal"/>
      <w:pStyle w:val="14"/>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ZTJkYjY4MDRkZTM5NjIzYmFlZjc1NmM2NmJmYzQifQ=="/>
  </w:docVars>
  <w:rsids>
    <w:rsidRoot w:val="00E4630A"/>
    <w:rsid w:val="000059D0"/>
    <w:rsid w:val="00021573"/>
    <w:rsid w:val="00032C8A"/>
    <w:rsid w:val="0003529E"/>
    <w:rsid w:val="00045A38"/>
    <w:rsid w:val="0005516D"/>
    <w:rsid w:val="0006155B"/>
    <w:rsid w:val="000D0C1D"/>
    <w:rsid w:val="000F09F3"/>
    <w:rsid w:val="000F400A"/>
    <w:rsid w:val="000F512B"/>
    <w:rsid w:val="00122CEA"/>
    <w:rsid w:val="00147A03"/>
    <w:rsid w:val="00172C03"/>
    <w:rsid w:val="0018734C"/>
    <w:rsid w:val="001941C5"/>
    <w:rsid w:val="00210571"/>
    <w:rsid w:val="0021089C"/>
    <w:rsid w:val="002C2515"/>
    <w:rsid w:val="002C4FAC"/>
    <w:rsid w:val="002C6785"/>
    <w:rsid w:val="002E6618"/>
    <w:rsid w:val="00306426"/>
    <w:rsid w:val="00315535"/>
    <w:rsid w:val="00326E2A"/>
    <w:rsid w:val="00335D08"/>
    <w:rsid w:val="00341D92"/>
    <w:rsid w:val="00363438"/>
    <w:rsid w:val="003742E3"/>
    <w:rsid w:val="003C654F"/>
    <w:rsid w:val="0041540F"/>
    <w:rsid w:val="0042276D"/>
    <w:rsid w:val="00446748"/>
    <w:rsid w:val="004B3C9D"/>
    <w:rsid w:val="005029E5"/>
    <w:rsid w:val="00555A0F"/>
    <w:rsid w:val="005731B7"/>
    <w:rsid w:val="00575770"/>
    <w:rsid w:val="005919F4"/>
    <w:rsid w:val="005A70D6"/>
    <w:rsid w:val="005B2016"/>
    <w:rsid w:val="005D495C"/>
    <w:rsid w:val="005F61AB"/>
    <w:rsid w:val="00622D55"/>
    <w:rsid w:val="00624282"/>
    <w:rsid w:val="00677376"/>
    <w:rsid w:val="006971BC"/>
    <w:rsid w:val="006C2E3D"/>
    <w:rsid w:val="006C6C99"/>
    <w:rsid w:val="006C714F"/>
    <w:rsid w:val="006D0C3E"/>
    <w:rsid w:val="006D3A6F"/>
    <w:rsid w:val="00744AD0"/>
    <w:rsid w:val="00751DB8"/>
    <w:rsid w:val="008106BF"/>
    <w:rsid w:val="0082369F"/>
    <w:rsid w:val="00880E60"/>
    <w:rsid w:val="008A577B"/>
    <w:rsid w:val="00904B57"/>
    <w:rsid w:val="009122BF"/>
    <w:rsid w:val="0093434D"/>
    <w:rsid w:val="00A1145D"/>
    <w:rsid w:val="00A17AC5"/>
    <w:rsid w:val="00A6250E"/>
    <w:rsid w:val="00B422AD"/>
    <w:rsid w:val="00B44CC3"/>
    <w:rsid w:val="00B62C45"/>
    <w:rsid w:val="00B7630D"/>
    <w:rsid w:val="00B94A91"/>
    <w:rsid w:val="00BA1BA3"/>
    <w:rsid w:val="00BC0C3C"/>
    <w:rsid w:val="00BF47CD"/>
    <w:rsid w:val="00C03A4C"/>
    <w:rsid w:val="00C2442F"/>
    <w:rsid w:val="00C627B3"/>
    <w:rsid w:val="00CA7BE2"/>
    <w:rsid w:val="00CA7DF5"/>
    <w:rsid w:val="00CB3A11"/>
    <w:rsid w:val="00CB7A06"/>
    <w:rsid w:val="00CD4AE3"/>
    <w:rsid w:val="00D07BDB"/>
    <w:rsid w:val="00D13793"/>
    <w:rsid w:val="00D66D49"/>
    <w:rsid w:val="00D80754"/>
    <w:rsid w:val="00D95CB4"/>
    <w:rsid w:val="00D95F11"/>
    <w:rsid w:val="00DD1BCD"/>
    <w:rsid w:val="00DD209D"/>
    <w:rsid w:val="00DD37A2"/>
    <w:rsid w:val="00E4630A"/>
    <w:rsid w:val="00E57B09"/>
    <w:rsid w:val="00EA103F"/>
    <w:rsid w:val="00F2068A"/>
    <w:rsid w:val="00F20BAF"/>
    <w:rsid w:val="00F4000F"/>
    <w:rsid w:val="00F46696"/>
    <w:rsid w:val="00F92DCD"/>
    <w:rsid w:val="00FA41F5"/>
    <w:rsid w:val="00FB3CB4"/>
    <w:rsid w:val="00FB3F11"/>
    <w:rsid w:val="02CF0CBE"/>
    <w:rsid w:val="02EF3938"/>
    <w:rsid w:val="03886A15"/>
    <w:rsid w:val="03E57E92"/>
    <w:rsid w:val="040449B4"/>
    <w:rsid w:val="04603E27"/>
    <w:rsid w:val="048D730D"/>
    <w:rsid w:val="04A04307"/>
    <w:rsid w:val="04B25E79"/>
    <w:rsid w:val="04D127FE"/>
    <w:rsid w:val="04E97827"/>
    <w:rsid w:val="05541C54"/>
    <w:rsid w:val="055A3260"/>
    <w:rsid w:val="06033E66"/>
    <w:rsid w:val="07256CFE"/>
    <w:rsid w:val="0769378A"/>
    <w:rsid w:val="07AD4E0D"/>
    <w:rsid w:val="0832105F"/>
    <w:rsid w:val="08597654"/>
    <w:rsid w:val="08E179D2"/>
    <w:rsid w:val="08E60555"/>
    <w:rsid w:val="09AB5E02"/>
    <w:rsid w:val="09F4565E"/>
    <w:rsid w:val="09F67F85"/>
    <w:rsid w:val="0A4759EB"/>
    <w:rsid w:val="0C1D249A"/>
    <w:rsid w:val="0E1A10EE"/>
    <w:rsid w:val="0E830D7D"/>
    <w:rsid w:val="0EDF6A37"/>
    <w:rsid w:val="0F345506"/>
    <w:rsid w:val="100A6F70"/>
    <w:rsid w:val="113A2ED9"/>
    <w:rsid w:val="11A54A50"/>
    <w:rsid w:val="11CA2F54"/>
    <w:rsid w:val="12905590"/>
    <w:rsid w:val="12B3383D"/>
    <w:rsid w:val="14923051"/>
    <w:rsid w:val="15DC0CFF"/>
    <w:rsid w:val="16662C9A"/>
    <w:rsid w:val="169A07D8"/>
    <w:rsid w:val="17E749F4"/>
    <w:rsid w:val="199A7D2F"/>
    <w:rsid w:val="19C958B7"/>
    <w:rsid w:val="19ED04F1"/>
    <w:rsid w:val="1B8B5096"/>
    <w:rsid w:val="1B91415D"/>
    <w:rsid w:val="1C6349A3"/>
    <w:rsid w:val="1CAB7481"/>
    <w:rsid w:val="1CC55FA0"/>
    <w:rsid w:val="1CE568DC"/>
    <w:rsid w:val="1CE60755"/>
    <w:rsid w:val="1E8F0EA6"/>
    <w:rsid w:val="1EDF6194"/>
    <w:rsid w:val="1FFD097B"/>
    <w:rsid w:val="204B1DAE"/>
    <w:rsid w:val="21265EBC"/>
    <w:rsid w:val="21E16551"/>
    <w:rsid w:val="22340AF1"/>
    <w:rsid w:val="22407E00"/>
    <w:rsid w:val="23053713"/>
    <w:rsid w:val="23926914"/>
    <w:rsid w:val="23E4633C"/>
    <w:rsid w:val="23FF0527"/>
    <w:rsid w:val="24CD53AF"/>
    <w:rsid w:val="24D40764"/>
    <w:rsid w:val="24E65990"/>
    <w:rsid w:val="25A400FF"/>
    <w:rsid w:val="25EA5EF6"/>
    <w:rsid w:val="278E5197"/>
    <w:rsid w:val="280312A6"/>
    <w:rsid w:val="287D78ED"/>
    <w:rsid w:val="290E77FC"/>
    <w:rsid w:val="29973FDA"/>
    <w:rsid w:val="2B9A7DAE"/>
    <w:rsid w:val="2C2B48BE"/>
    <w:rsid w:val="2CD237A3"/>
    <w:rsid w:val="2D022791"/>
    <w:rsid w:val="2D1B2BCF"/>
    <w:rsid w:val="2D2C5AB7"/>
    <w:rsid w:val="2D556E85"/>
    <w:rsid w:val="2D984466"/>
    <w:rsid w:val="2DF10D15"/>
    <w:rsid w:val="2E3B1CC6"/>
    <w:rsid w:val="2E781959"/>
    <w:rsid w:val="2E7A3577"/>
    <w:rsid w:val="2ECE240D"/>
    <w:rsid w:val="2F6B56CD"/>
    <w:rsid w:val="2FAD1813"/>
    <w:rsid w:val="313F233C"/>
    <w:rsid w:val="34150141"/>
    <w:rsid w:val="351615F2"/>
    <w:rsid w:val="366A7A95"/>
    <w:rsid w:val="36FA3B96"/>
    <w:rsid w:val="37346038"/>
    <w:rsid w:val="375A492F"/>
    <w:rsid w:val="38CA3A27"/>
    <w:rsid w:val="396607FF"/>
    <w:rsid w:val="39BF6C4E"/>
    <w:rsid w:val="3A9445C9"/>
    <w:rsid w:val="3AE27DEB"/>
    <w:rsid w:val="3B7A7332"/>
    <w:rsid w:val="3BAB5D90"/>
    <w:rsid w:val="3F300537"/>
    <w:rsid w:val="3F787261"/>
    <w:rsid w:val="3F84554C"/>
    <w:rsid w:val="401C3FA7"/>
    <w:rsid w:val="403509B9"/>
    <w:rsid w:val="40C51BFE"/>
    <w:rsid w:val="425035C8"/>
    <w:rsid w:val="425C5113"/>
    <w:rsid w:val="42E1587C"/>
    <w:rsid w:val="439457DA"/>
    <w:rsid w:val="43BF78DC"/>
    <w:rsid w:val="44542E74"/>
    <w:rsid w:val="44847599"/>
    <w:rsid w:val="45135A34"/>
    <w:rsid w:val="458325F7"/>
    <w:rsid w:val="462A4963"/>
    <w:rsid w:val="46A00B24"/>
    <w:rsid w:val="46C11F55"/>
    <w:rsid w:val="479B4E15"/>
    <w:rsid w:val="487E323B"/>
    <w:rsid w:val="4886327B"/>
    <w:rsid w:val="488E03B7"/>
    <w:rsid w:val="492B079D"/>
    <w:rsid w:val="4A5236B8"/>
    <w:rsid w:val="4AE923E7"/>
    <w:rsid w:val="4AF77CAF"/>
    <w:rsid w:val="4B324229"/>
    <w:rsid w:val="4B5835DA"/>
    <w:rsid w:val="4B9B038A"/>
    <w:rsid w:val="4FB17891"/>
    <w:rsid w:val="50F911EF"/>
    <w:rsid w:val="51DD4401"/>
    <w:rsid w:val="526017E3"/>
    <w:rsid w:val="53E81784"/>
    <w:rsid w:val="54354D7E"/>
    <w:rsid w:val="5498511E"/>
    <w:rsid w:val="55003FDE"/>
    <w:rsid w:val="552F7DB7"/>
    <w:rsid w:val="55337A83"/>
    <w:rsid w:val="55557008"/>
    <w:rsid w:val="557F62D8"/>
    <w:rsid w:val="55B66485"/>
    <w:rsid w:val="56134F71"/>
    <w:rsid w:val="56261620"/>
    <w:rsid w:val="5693490F"/>
    <w:rsid w:val="56F31B88"/>
    <w:rsid w:val="571D084D"/>
    <w:rsid w:val="573E0CA7"/>
    <w:rsid w:val="579C2F50"/>
    <w:rsid w:val="582544D7"/>
    <w:rsid w:val="58D40018"/>
    <w:rsid w:val="58DE6E03"/>
    <w:rsid w:val="59A22DB5"/>
    <w:rsid w:val="59A55F32"/>
    <w:rsid w:val="59B57B41"/>
    <w:rsid w:val="5B1B1025"/>
    <w:rsid w:val="5CF46D13"/>
    <w:rsid w:val="5D310964"/>
    <w:rsid w:val="5D4A59DB"/>
    <w:rsid w:val="5E264030"/>
    <w:rsid w:val="5E553FCC"/>
    <w:rsid w:val="5E8E627C"/>
    <w:rsid w:val="5F2A3FEC"/>
    <w:rsid w:val="607A59CB"/>
    <w:rsid w:val="61742145"/>
    <w:rsid w:val="617472C0"/>
    <w:rsid w:val="626B3B77"/>
    <w:rsid w:val="62743053"/>
    <w:rsid w:val="62A56FE4"/>
    <w:rsid w:val="63024F53"/>
    <w:rsid w:val="63CF4B90"/>
    <w:rsid w:val="65330753"/>
    <w:rsid w:val="664E589F"/>
    <w:rsid w:val="67006728"/>
    <w:rsid w:val="686D4100"/>
    <w:rsid w:val="68A034E3"/>
    <w:rsid w:val="6914498A"/>
    <w:rsid w:val="69D77E49"/>
    <w:rsid w:val="6AE03D68"/>
    <w:rsid w:val="6B082FB4"/>
    <w:rsid w:val="6CD402CD"/>
    <w:rsid w:val="6DF37FCC"/>
    <w:rsid w:val="6F38381C"/>
    <w:rsid w:val="6F9C46FB"/>
    <w:rsid w:val="6FFB1086"/>
    <w:rsid w:val="705C5AF8"/>
    <w:rsid w:val="70646001"/>
    <w:rsid w:val="718B547D"/>
    <w:rsid w:val="71DE07D3"/>
    <w:rsid w:val="726A54B2"/>
    <w:rsid w:val="727974EC"/>
    <w:rsid w:val="7364193A"/>
    <w:rsid w:val="74FA5282"/>
    <w:rsid w:val="759879A5"/>
    <w:rsid w:val="76293CA6"/>
    <w:rsid w:val="76D30133"/>
    <w:rsid w:val="771536C7"/>
    <w:rsid w:val="78DA1E80"/>
    <w:rsid w:val="790243D4"/>
    <w:rsid w:val="796C7A31"/>
    <w:rsid w:val="799F61C2"/>
    <w:rsid w:val="7B005C9B"/>
    <w:rsid w:val="7C772BB9"/>
    <w:rsid w:val="7C7F5AE4"/>
    <w:rsid w:val="7D0241D1"/>
    <w:rsid w:val="7D6E69D8"/>
    <w:rsid w:val="7DC14E2E"/>
    <w:rsid w:val="7DE61B03"/>
    <w:rsid w:val="7F0E3DEF"/>
    <w:rsid w:val="7F625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33"/>
    <w:qFormat/>
    <w:uiPriority w:val="0"/>
    <w:pPr>
      <w:keepNext/>
      <w:keepLines/>
      <w:pageBreakBefore/>
      <w:numPr>
        <w:ilvl w:val="0"/>
        <w:numId w:val="1"/>
      </w:numPr>
      <w:spacing w:before="240" w:after="240" w:line="360" w:lineRule="auto"/>
      <w:outlineLvl w:val="0"/>
    </w:pPr>
    <w:rPr>
      <w:rFonts w:ascii="Times New Roman" w:hAnsi="Times New Roman"/>
      <w:b/>
      <w:kern w:val="44"/>
      <w:sz w:val="32"/>
      <w:szCs w:val="20"/>
    </w:rPr>
  </w:style>
  <w:style w:type="paragraph" w:styleId="6">
    <w:name w:val="heading 2"/>
    <w:basedOn w:val="1"/>
    <w:next w:val="7"/>
    <w:link w:val="34"/>
    <w:qFormat/>
    <w:uiPriority w:val="0"/>
    <w:pPr>
      <w:keepLines/>
      <w:numPr>
        <w:ilvl w:val="1"/>
        <w:numId w:val="1"/>
      </w:numPr>
      <w:pBdr>
        <w:bottom w:val="single" w:color="auto" w:sz="12" w:space="1"/>
      </w:pBdr>
      <w:spacing w:before="960" w:after="960"/>
      <w:outlineLvl w:val="1"/>
    </w:pPr>
    <w:rPr>
      <w:rFonts w:ascii="Times New Roman" w:hAnsi="Times New Roman"/>
      <w:b/>
      <w:sz w:val="32"/>
      <w:szCs w:val="20"/>
    </w:rPr>
  </w:style>
  <w:style w:type="paragraph" w:styleId="8">
    <w:name w:val="heading 3"/>
    <w:basedOn w:val="1"/>
    <w:next w:val="7"/>
    <w:link w:val="35"/>
    <w:qFormat/>
    <w:uiPriority w:val="0"/>
    <w:pPr>
      <w:numPr>
        <w:ilvl w:val="2"/>
        <w:numId w:val="1"/>
      </w:numPr>
      <w:spacing w:before="400" w:after="200" w:line="360" w:lineRule="auto"/>
      <w:outlineLvl w:val="2"/>
    </w:pPr>
    <w:rPr>
      <w:rFonts w:ascii="宋体" w:hAnsi="宋体"/>
      <w:b/>
      <w:kern w:val="0"/>
      <w:sz w:val="24"/>
      <w:szCs w:val="20"/>
    </w:rPr>
  </w:style>
  <w:style w:type="paragraph" w:styleId="9">
    <w:name w:val="heading 4"/>
    <w:basedOn w:val="1"/>
    <w:next w:val="7"/>
    <w:link w:val="36"/>
    <w:qFormat/>
    <w:uiPriority w:val="0"/>
    <w:pPr>
      <w:numPr>
        <w:ilvl w:val="3"/>
        <w:numId w:val="1"/>
      </w:numPr>
      <w:spacing w:beforeLines="50" w:after="60" w:line="360" w:lineRule="auto"/>
      <w:outlineLvl w:val="3"/>
    </w:pPr>
    <w:rPr>
      <w:rFonts w:ascii="Times New Roman" w:hAnsi="Times New Roman"/>
      <w:b/>
      <w:sz w:val="24"/>
      <w:szCs w:val="20"/>
    </w:rPr>
  </w:style>
  <w:style w:type="paragraph" w:styleId="10">
    <w:name w:val="heading 5"/>
    <w:basedOn w:val="1"/>
    <w:next w:val="7"/>
    <w:link w:val="38"/>
    <w:qFormat/>
    <w:uiPriority w:val="0"/>
    <w:pPr>
      <w:keepNext/>
      <w:numPr>
        <w:ilvl w:val="4"/>
        <w:numId w:val="1"/>
      </w:numPr>
      <w:spacing w:before="400" w:after="60" w:line="360" w:lineRule="auto"/>
      <w:outlineLvl w:val="4"/>
    </w:pPr>
    <w:rPr>
      <w:rFonts w:ascii="Times New Roman" w:hAnsi="Times New Roman"/>
      <w:b/>
      <w:sz w:val="24"/>
      <w:szCs w:val="20"/>
    </w:rPr>
  </w:style>
  <w:style w:type="paragraph" w:styleId="11">
    <w:name w:val="heading 6"/>
    <w:basedOn w:val="1"/>
    <w:next w:val="7"/>
    <w:link w:val="40"/>
    <w:qFormat/>
    <w:uiPriority w:val="0"/>
    <w:pPr>
      <w:keepNext/>
      <w:numPr>
        <w:ilvl w:val="5"/>
        <w:numId w:val="1"/>
      </w:numPr>
      <w:snapToGrid w:val="0"/>
      <w:spacing w:before="400" w:after="200" w:line="360" w:lineRule="auto"/>
      <w:outlineLvl w:val="5"/>
    </w:pPr>
    <w:rPr>
      <w:rFonts w:ascii="宋体" w:hAnsi="Times New Roman"/>
      <w:sz w:val="24"/>
      <w:szCs w:val="20"/>
    </w:rPr>
  </w:style>
  <w:style w:type="paragraph" w:styleId="12">
    <w:name w:val="heading 7"/>
    <w:basedOn w:val="1"/>
    <w:next w:val="7"/>
    <w:link w:val="41"/>
    <w:qFormat/>
    <w:uiPriority w:val="0"/>
    <w:pPr>
      <w:keepNext/>
      <w:numPr>
        <w:ilvl w:val="6"/>
        <w:numId w:val="1"/>
      </w:numPr>
      <w:snapToGrid w:val="0"/>
      <w:spacing w:before="400" w:after="200" w:line="360" w:lineRule="auto"/>
      <w:outlineLvl w:val="6"/>
    </w:pPr>
    <w:rPr>
      <w:rFonts w:ascii="Times New Roman" w:hAnsi="Times New Roman"/>
      <w:color w:val="008000"/>
      <w:sz w:val="28"/>
      <w:szCs w:val="20"/>
    </w:rPr>
  </w:style>
  <w:style w:type="paragraph" w:styleId="13">
    <w:name w:val="heading 8"/>
    <w:basedOn w:val="1"/>
    <w:next w:val="7"/>
    <w:link w:val="42"/>
    <w:qFormat/>
    <w:uiPriority w:val="0"/>
    <w:pPr>
      <w:keepNext/>
      <w:numPr>
        <w:ilvl w:val="7"/>
        <w:numId w:val="1"/>
      </w:numPr>
      <w:snapToGrid w:val="0"/>
      <w:spacing w:before="400" w:after="200" w:line="360" w:lineRule="auto"/>
      <w:outlineLvl w:val="7"/>
    </w:pPr>
    <w:rPr>
      <w:rFonts w:ascii="Times New Roman" w:hAnsi="Times New Roman"/>
      <w:color w:val="008000"/>
      <w:sz w:val="28"/>
      <w:szCs w:val="20"/>
    </w:rPr>
  </w:style>
  <w:style w:type="paragraph" w:styleId="14">
    <w:name w:val="heading 9"/>
    <w:basedOn w:val="1"/>
    <w:next w:val="1"/>
    <w:link w:val="43"/>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rPr>
  </w:style>
  <w:style w:type="paragraph" w:styleId="4">
    <w:name w:val="footer"/>
    <w:basedOn w:val="1"/>
    <w:link w:val="50"/>
    <w:qFormat/>
    <w:uiPriority w:val="0"/>
    <w:pPr>
      <w:tabs>
        <w:tab w:val="center" w:pos="4153"/>
        <w:tab w:val="right" w:pos="8306"/>
      </w:tabs>
      <w:snapToGrid w:val="0"/>
      <w:jc w:val="left"/>
    </w:pPr>
    <w:rPr>
      <w:sz w:val="18"/>
      <w:szCs w:val="18"/>
    </w:rPr>
  </w:style>
  <w:style w:type="paragraph" w:styleId="7">
    <w:name w:val="Normal Indent"/>
    <w:basedOn w:val="1"/>
    <w:unhideWhenUsed/>
    <w:qFormat/>
    <w:uiPriority w:val="99"/>
    <w:pPr>
      <w:spacing w:before="400" w:after="200"/>
      <w:ind w:left="567" w:firstLine="420" w:firstLineChars="200"/>
    </w:pPr>
    <w:rPr>
      <w:rFonts w:ascii="Times New Roman" w:hAnsi="Times New Roman"/>
    </w:rPr>
  </w:style>
  <w:style w:type="paragraph" w:styleId="15">
    <w:name w:val="caption"/>
    <w:basedOn w:val="1"/>
    <w:next w:val="1"/>
    <w:qFormat/>
    <w:uiPriority w:val="0"/>
    <w:pPr>
      <w:spacing w:before="152" w:after="160"/>
      <w:ind w:left="567" w:hanging="567"/>
    </w:pPr>
    <w:rPr>
      <w:rFonts w:ascii="Arial" w:hAnsi="Arial" w:eastAsia="黑体" w:cs="Arial"/>
      <w:sz w:val="20"/>
      <w:szCs w:val="20"/>
    </w:rPr>
  </w:style>
  <w:style w:type="paragraph" w:styleId="16">
    <w:name w:val="Document Map"/>
    <w:basedOn w:val="1"/>
    <w:link w:val="56"/>
    <w:unhideWhenUsed/>
    <w:qFormat/>
    <w:uiPriority w:val="99"/>
    <w:rPr>
      <w:rFonts w:ascii="宋体"/>
      <w:sz w:val="18"/>
      <w:szCs w:val="18"/>
    </w:rPr>
  </w:style>
  <w:style w:type="paragraph" w:styleId="17">
    <w:name w:val="Body Text"/>
    <w:basedOn w:val="1"/>
    <w:next w:val="18"/>
    <w:link w:val="61"/>
    <w:unhideWhenUsed/>
    <w:qFormat/>
    <w:uiPriority w:val="99"/>
    <w:pPr>
      <w:autoSpaceDE w:val="0"/>
      <w:autoSpaceDN w:val="0"/>
      <w:jc w:val="left"/>
    </w:pPr>
    <w:rPr>
      <w:rFonts w:ascii="宋体" w:hAnsi="宋体" w:cs="宋体"/>
      <w:kern w:val="0"/>
      <w:sz w:val="24"/>
    </w:rPr>
  </w:style>
  <w:style w:type="paragraph" w:styleId="18">
    <w:name w:val="List Bullet 5"/>
    <w:basedOn w:val="1"/>
    <w:semiHidden/>
    <w:unhideWhenUsed/>
    <w:qFormat/>
    <w:uiPriority w:val="99"/>
    <w:pPr>
      <w:numPr>
        <w:ilvl w:val="0"/>
        <w:numId w:val="2"/>
      </w:numPr>
    </w:pPr>
  </w:style>
  <w:style w:type="paragraph" w:styleId="19">
    <w:name w:val="Body Text Indent"/>
    <w:basedOn w:val="1"/>
    <w:qFormat/>
    <w:uiPriority w:val="0"/>
    <w:pPr>
      <w:ind w:firstLine="480"/>
    </w:pPr>
    <w:rPr>
      <w:sz w:val="24"/>
    </w:rPr>
  </w:style>
  <w:style w:type="paragraph" w:styleId="20">
    <w:name w:val="toc 5"/>
    <w:basedOn w:val="1"/>
    <w:next w:val="1"/>
    <w:qFormat/>
    <w:uiPriority w:val="0"/>
    <w:pPr>
      <w:ind w:left="1680" w:leftChars="800"/>
    </w:pPr>
  </w:style>
  <w:style w:type="paragraph" w:styleId="21">
    <w:name w:val="Balloon Text"/>
    <w:basedOn w:val="1"/>
    <w:link w:val="57"/>
    <w:unhideWhenUsed/>
    <w:qFormat/>
    <w:uiPriority w:val="99"/>
    <w:rPr>
      <w:sz w:val="18"/>
      <w:szCs w:val="18"/>
    </w:rPr>
  </w:style>
  <w:style w:type="paragraph" w:styleId="2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3">
    <w:name w:val="Subtitle"/>
    <w:basedOn w:val="1"/>
    <w:link w:val="45"/>
    <w:qFormat/>
    <w:uiPriority w:val="0"/>
    <w:pPr>
      <w:spacing w:before="240" w:after="60" w:line="312" w:lineRule="auto"/>
      <w:ind w:left="567" w:hanging="567"/>
      <w:jc w:val="center"/>
      <w:outlineLvl w:val="1"/>
    </w:pPr>
    <w:rPr>
      <w:rFonts w:ascii="Arial" w:hAnsi="Arial" w:cs="Arial"/>
      <w:b/>
      <w:bCs/>
      <w:kern w:val="28"/>
      <w:sz w:val="32"/>
      <w:szCs w:val="32"/>
    </w:rPr>
  </w:style>
  <w:style w:type="paragraph" w:styleId="24">
    <w:name w:val="Normal (Web)"/>
    <w:basedOn w:val="1"/>
    <w:unhideWhenUsed/>
    <w:qFormat/>
    <w:uiPriority w:val="99"/>
    <w:pPr>
      <w:spacing w:before="100" w:beforeAutospacing="1" w:after="100" w:afterAutospacing="1" w:line="360" w:lineRule="auto"/>
      <w:ind w:firstLine="200" w:firstLineChars="200"/>
      <w:jc w:val="left"/>
    </w:pPr>
    <w:rPr>
      <w:rFonts w:ascii="Times New Roman" w:hAnsi="Times New Roman"/>
      <w:kern w:val="0"/>
      <w:sz w:val="24"/>
    </w:rPr>
  </w:style>
  <w:style w:type="paragraph" w:styleId="25">
    <w:name w:val="Title"/>
    <w:basedOn w:val="1"/>
    <w:link w:val="44"/>
    <w:qFormat/>
    <w:uiPriority w:val="0"/>
    <w:pPr>
      <w:spacing w:before="240" w:after="60"/>
      <w:ind w:left="567" w:hanging="567"/>
      <w:jc w:val="center"/>
      <w:outlineLvl w:val="0"/>
    </w:pPr>
    <w:rPr>
      <w:rFonts w:ascii="Arial" w:hAnsi="Arial" w:cs="Arial"/>
      <w:b/>
      <w:bCs/>
      <w:sz w:val="32"/>
      <w:szCs w:val="32"/>
    </w:rPr>
  </w:style>
  <w:style w:type="character" w:styleId="28">
    <w:name w:val="Strong"/>
    <w:qFormat/>
    <w:uiPriority w:val="0"/>
    <w:rPr>
      <w:b/>
      <w:bCs/>
    </w:rPr>
  </w:style>
  <w:style w:type="character" w:styleId="29">
    <w:name w:val="page number"/>
    <w:qFormat/>
    <w:uiPriority w:val="0"/>
  </w:style>
  <w:style w:type="character" w:styleId="30">
    <w:name w:val="Emphasis"/>
    <w:qFormat/>
    <w:uiPriority w:val="0"/>
    <w:rPr>
      <w:i/>
      <w:iCs/>
    </w:rPr>
  </w:style>
  <w:style w:type="paragraph" w:customStyle="1" w:styleId="31">
    <w:name w:val="报告书正文"/>
    <w:basedOn w:val="1"/>
    <w:qFormat/>
    <w:uiPriority w:val="0"/>
    <w:pPr>
      <w:widowControl/>
      <w:ind w:firstLine="200" w:firstLineChars="200"/>
      <w:jc w:val="both"/>
    </w:pPr>
    <w:rPr>
      <w:kern w:val="0"/>
      <w:szCs w:val="20"/>
      <w:lang w:bidi="ne-NP"/>
    </w:rPr>
  </w:style>
  <w:style w:type="paragraph" w:customStyle="1" w:styleId="3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33">
    <w:name w:val="标题 1 Char"/>
    <w:basedOn w:val="27"/>
    <w:link w:val="5"/>
    <w:qFormat/>
    <w:uiPriority w:val="0"/>
    <w:rPr>
      <w:b/>
      <w:kern w:val="44"/>
      <w:sz w:val="32"/>
    </w:rPr>
  </w:style>
  <w:style w:type="character" w:customStyle="1" w:styleId="34">
    <w:name w:val="标题 2 Char"/>
    <w:basedOn w:val="27"/>
    <w:link w:val="6"/>
    <w:qFormat/>
    <w:uiPriority w:val="0"/>
    <w:rPr>
      <w:b/>
      <w:kern w:val="2"/>
      <w:sz w:val="32"/>
    </w:rPr>
  </w:style>
  <w:style w:type="character" w:customStyle="1" w:styleId="35">
    <w:name w:val="标题 3 Char"/>
    <w:basedOn w:val="27"/>
    <w:link w:val="8"/>
    <w:qFormat/>
    <w:uiPriority w:val="0"/>
    <w:rPr>
      <w:rFonts w:ascii="宋体" w:hAnsi="宋体"/>
      <w:b/>
      <w:sz w:val="24"/>
    </w:rPr>
  </w:style>
  <w:style w:type="character" w:customStyle="1" w:styleId="36">
    <w:name w:val="标题 4 Char"/>
    <w:basedOn w:val="27"/>
    <w:link w:val="9"/>
    <w:qFormat/>
    <w:uiPriority w:val="0"/>
    <w:rPr>
      <w:b/>
      <w:kern w:val="2"/>
      <w:sz w:val="24"/>
    </w:rPr>
  </w:style>
  <w:style w:type="character" w:customStyle="1" w:styleId="37">
    <w:name w:val="标题 4 Char2"/>
    <w:qFormat/>
    <w:uiPriority w:val="0"/>
    <w:rPr>
      <w:rFonts w:eastAsia="宋体"/>
      <w:b/>
      <w:kern w:val="2"/>
      <w:sz w:val="24"/>
      <w:lang w:val="en-US" w:eastAsia="zh-CN" w:bidi="ar-SA"/>
    </w:rPr>
  </w:style>
  <w:style w:type="character" w:customStyle="1" w:styleId="38">
    <w:name w:val="标题 5 Char"/>
    <w:basedOn w:val="27"/>
    <w:link w:val="10"/>
    <w:qFormat/>
    <w:uiPriority w:val="0"/>
    <w:rPr>
      <w:b/>
      <w:kern w:val="2"/>
      <w:sz w:val="24"/>
    </w:rPr>
  </w:style>
  <w:style w:type="character" w:customStyle="1" w:styleId="39">
    <w:name w:val="标题 5 Char2"/>
    <w:qFormat/>
    <w:uiPriority w:val="0"/>
    <w:rPr>
      <w:rFonts w:eastAsia="宋体"/>
      <w:b/>
      <w:kern w:val="2"/>
      <w:sz w:val="24"/>
      <w:lang w:val="en-US" w:eastAsia="zh-CN" w:bidi="ar-SA"/>
    </w:rPr>
  </w:style>
  <w:style w:type="character" w:customStyle="1" w:styleId="40">
    <w:name w:val="标题 6 Char"/>
    <w:basedOn w:val="27"/>
    <w:link w:val="11"/>
    <w:qFormat/>
    <w:uiPriority w:val="0"/>
    <w:rPr>
      <w:rFonts w:ascii="宋体"/>
      <w:kern w:val="2"/>
      <w:sz w:val="24"/>
    </w:rPr>
  </w:style>
  <w:style w:type="character" w:customStyle="1" w:styleId="41">
    <w:name w:val="标题 7 Char"/>
    <w:basedOn w:val="27"/>
    <w:link w:val="12"/>
    <w:qFormat/>
    <w:uiPriority w:val="0"/>
    <w:rPr>
      <w:color w:val="008000"/>
      <w:kern w:val="2"/>
      <w:sz w:val="28"/>
    </w:rPr>
  </w:style>
  <w:style w:type="character" w:customStyle="1" w:styleId="42">
    <w:name w:val="标题 8 Char"/>
    <w:basedOn w:val="27"/>
    <w:link w:val="13"/>
    <w:qFormat/>
    <w:uiPriority w:val="0"/>
    <w:rPr>
      <w:color w:val="008000"/>
      <w:kern w:val="2"/>
      <w:sz w:val="28"/>
    </w:rPr>
  </w:style>
  <w:style w:type="character" w:customStyle="1" w:styleId="43">
    <w:name w:val="标题 9 Char"/>
    <w:basedOn w:val="27"/>
    <w:link w:val="14"/>
    <w:qFormat/>
    <w:uiPriority w:val="0"/>
    <w:rPr>
      <w:rFonts w:ascii="Arial" w:hAnsi="Arial" w:eastAsia="黑体"/>
      <w:sz w:val="24"/>
    </w:rPr>
  </w:style>
  <w:style w:type="character" w:customStyle="1" w:styleId="44">
    <w:name w:val="标题 Char"/>
    <w:basedOn w:val="27"/>
    <w:link w:val="25"/>
    <w:qFormat/>
    <w:uiPriority w:val="0"/>
    <w:rPr>
      <w:rFonts w:ascii="Arial" w:hAnsi="Arial" w:cs="Arial"/>
      <w:b/>
      <w:bCs/>
      <w:kern w:val="2"/>
      <w:sz w:val="32"/>
      <w:szCs w:val="32"/>
    </w:rPr>
  </w:style>
  <w:style w:type="character" w:customStyle="1" w:styleId="45">
    <w:name w:val="副标题 Char"/>
    <w:basedOn w:val="27"/>
    <w:link w:val="23"/>
    <w:qFormat/>
    <w:uiPriority w:val="0"/>
    <w:rPr>
      <w:rFonts w:ascii="Arial" w:hAnsi="Arial" w:cs="Arial"/>
      <w:b/>
      <w:bCs/>
      <w:kern w:val="28"/>
      <w:sz w:val="32"/>
      <w:szCs w:val="32"/>
    </w:rPr>
  </w:style>
  <w:style w:type="paragraph" w:customStyle="1" w:styleId="46">
    <w:name w:val="列表段落1"/>
    <w:basedOn w:val="1"/>
    <w:qFormat/>
    <w:uiPriority w:val="0"/>
    <w:pPr>
      <w:spacing w:before="400" w:after="200"/>
      <w:ind w:left="567" w:firstLine="420" w:firstLineChars="200"/>
    </w:pPr>
    <w:rPr>
      <w:rFonts w:ascii="Times New Roman" w:hAnsi="Times New Roman"/>
    </w:rPr>
  </w:style>
  <w:style w:type="paragraph" w:customStyle="1" w:styleId="47">
    <w:name w:val="君邦正文"/>
    <w:link w:val="48"/>
    <w:qFormat/>
    <w:uiPriority w:val="0"/>
    <w:pPr>
      <w:spacing w:before="400" w:after="60" w:line="360" w:lineRule="auto"/>
      <w:ind w:left="567" w:firstLine="480" w:firstLineChars="200"/>
      <w:jc w:val="both"/>
    </w:pPr>
    <w:rPr>
      <w:rFonts w:ascii="Times New Roman" w:hAnsi="Times New Roman" w:eastAsia="宋体" w:cs="Times New Roman"/>
      <w:bCs/>
      <w:snapToGrid w:val="0"/>
      <w:sz w:val="24"/>
      <w:lang w:val="en-US" w:eastAsia="zh-CN" w:bidi="ar-SA"/>
    </w:rPr>
  </w:style>
  <w:style w:type="character" w:customStyle="1" w:styleId="48">
    <w:name w:val="君邦正文 Char2"/>
    <w:link w:val="47"/>
    <w:qFormat/>
    <w:uiPriority w:val="0"/>
    <w:rPr>
      <w:bCs/>
      <w:snapToGrid w:val="0"/>
      <w:sz w:val="24"/>
    </w:rPr>
  </w:style>
  <w:style w:type="character" w:customStyle="1" w:styleId="49">
    <w:name w:val="页眉 Char"/>
    <w:basedOn w:val="27"/>
    <w:link w:val="22"/>
    <w:qFormat/>
    <w:uiPriority w:val="0"/>
    <w:rPr>
      <w:rFonts w:ascii="Calibri" w:hAnsi="Calibri"/>
      <w:kern w:val="2"/>
      <w:sz w:val="18"/>
      <w:szCs w:val="18"/>
    </w:rPr>
  </w:style>
  <w:style w:type="character" w:customStyle="1" w:styleId="50">
    <w:name w:val="页脚 Char"/>
    <w:basedOn w:val="27"/>
    <w:link w:val="4"/>
    <w:qFormat/>
    <w:uiPriority w:val="0"/>
    <w:rPr>
      <w:rFonts w:ascii="Calibri" w:hAnsi="Calibri"/>
      <w:kern w:val="2"/>
      <w:sz w:val="18"/>
      <w:szCs w:val="18"/>
    </w:rPr>
  </w:style>
  <w:style w:type="paragraph" w:customStyle="1" w:styleId="51">
    <w:name w:val="样式8"/>
    <w:basedOn w:val="1"/>
    <w:qFormat/>
    <w:uiPriority w:val="0"/>
    <w:pPr>
      <w:spacing w:beforeLines="50" w:afterLines="50" w:line="360" w:lineRule="auto"/>
      <w:ind w:firstLine="573"/>
    </w:pPr>
    <w:rPr>
      <w:rFonts w:ascii="Arial" w:hAnsi="Arial" w:cs="Arial"/>
      <w:color w:val="000000"/>
      <w:sz w:val="24"/>
    </w:rPr>
  </w:style>
  <w:style w:type="paragraph" w:customStyle="1" w:styleId="52">
    <w:name w:val="表内字体"/>
    <w:basedOn w:val="1"/>
    <w:next w:val="47"/>
    <w:link w:val="53"/>
    <w:qFormat/>
    <w:uiPriority w:val="0"/>
    <w:pPr>
      <w:adjustRightInd w:val="0"/>
      <w:snapToGrid w:val="0"/>
      <w:jc w:val="center"/>
      <w:textAlignment w:val="baseline"/>
    </w:pPr>
    <w:rPr>
      <w:rFonts w:ascii="Times New Roman" w:hAnsi="Times New Roman"/>
      <w:kern w:val="0"/>
      <w:sz w:val="18"/>
      <w:szCs w:val="18"/>
    </w:rPr>
  </w:style>
  <w:style w:type="character" w:customStyle="1" w:styleId="53">
    <w:name w:val="表内字体 Char"/>
    <w:link w:val="52"/>
    <w:qFormat/>
    <w:locked/>
    <w:uiPriority w:val="0"/>
    <w:rPr>
      <w:sz w:val="18"/>
      <w:szCs w:val="18"/>
    </w:rPr>
  </w:style>
  <w:style w:type="character" w:customStyle="1" w:styleId="54">
    <w:name w:val="表内格式 Char1"/>
    <w:link w:val="55"/>
    <w:qFormat/>
    <w:locked/>
    <w:uiPriority w:val="0"/>
    <w:rPr>
      <w:kern w:val="2"/>
      <w:sz w:val="18"/>
    </w:rPr>
  </w:style>
  <w:style w:type="paragraph" w:customStyle="1" w:styleId="55">
    <w:name w:val="表内格式"/>
    <w:basedOn w:val="1"/>
    <w:link w:val="54"/>
    <w:qFormat/>
    <w:uiPriority w:val="0"/>
    <w:pPr>
      <w:jc w:val="center"/>
    </w:pPr>
    <w:rPr>
      <w:rFonts w:ascii="Times New Roman" w:hAnsi="Times New Roman"/>
      <w:sz w:val="18"/>
      <w:szCs w:val="20"/>
    </w:rPr>
  </w:style>
  <w:style w:type="character" w:customStyle="1" w:styleId="56">
    <w:name w:val="文档结构图 Char"/>
    <w:basedOn w:val="27"/>
    <w:link w:val="16"/>
    <w:semiHidden/>
    <w:qFormat/>
    <w:uiPriority w:val="99"/>
    <w:rPr>
      <w:rFonts w:ascii="宋体" w:hAnsi="Calibri"/>
      <w:kern w:val="2"/>
      <w:sz w:val="18"/>
      <w:szCs w:val="18"/>
    </w:rPr>
  </w:style>
  <w:style w:type="character" w:customStyle="1" w:styleId="57">
    <w:name w:val="批注框文本 Char"/>
    <w:basedOn w:val="27"/>
    <w:link w:val="21"/>
    <w:semiHidden/>
    <w:qFormat/>
    <w:uiPriority w:val="99"/>
    <w:rPr>
      <w:rFonts w:ascii="Calibri" w:hAnsi="Calibri"/>
      <w:kern w:val="2"/>
      <w:sz w:val="18"/>
      <w:szCs w:val="18"/>
    </w:rPr>
  </w:style>
  <w:style w:type="paragraph" w:customStyle="1" w:styleId="5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9">
    <w:name w:val="正文啊啊"/>
    <w:basedOn w:val="1"/>
    <w:qFormat/>
    <w:uiPriority w:val="0"/>
    <w:pPr>
      <w:spacing w:before="100" w:beforeAutospacing="1" w:after="100" w:afterAutospacing="1" w:line="360" w:lineRule="auto"/>
      <w:ind w:left="50" w:leftChars="50"/>
    </w:pPr>
    <w:rPr>
      <w:rFonts w:ascii="Times New Roman" w:hAnsi="Times New Roman"/>
      <w:sz w:val="24"/>
    </w:rPr>
  </w:style>
  <w:style w:type="paragraph" w:customStyle="1" w:styleId="60">
    <w:name w:val="正文2"/>
    <w:qFormat/>
    <w:uiPriority w:val="0"/>
    <w:pPr>
      <w:jc w:val="both"/>
    </w:pPr>
    <w:rPr>
      <w:rFonts w:ascii="Calibri" w:hAnsi="Calibri" w:eastAsia="宋体" w:cs="Calibri"/>
      <w:kern w:val="2"/>
      <w:sz w:val="21"/>
      <w:szCs w:val="21"/>
      <w:lang w:val="en-US" w:eastAsia="zh-CN" w:bidi="ar-SA"/>
    </w:rPr>
  </w:style>
  <w:style w:type="character" w:customStyle="1" w:styleId="61">
    <w:name w:val="正文文本 Char"/>
    <w:basedOn w:val="27"/>
    <w:link w:val="17"/>
    <w:qFormat/>
    <w:uiPriority w:val="99"/>
    <w:rPr>
      <w:rFonts w:ascii="宋体" w:hAnsi="宋体" w:cs="宋体"/>
      <w:sz w:val="24"/>
      <w:szCs w:val="24"/>
    </w:rPr>
  </w:style>
  <w:style w:type="paragraph" w:customStyle="1" w:styleId="62">
    <w:name w:val="Table Paragraph"/>
    <w:basedOn w:val="1"/>
    <w:qFormat/>
    <w:uiPriority w:val="0"/>
    <w:pPr>
      <w:autoSpaceDE w:val="0"/>
      <w:autoSpaceDN w:val="0"/>
      <w:jc w:val="center"/>
    </w:pPr>
    <w:rPr>
      <w:rFonts w:ascii="宋体" w:hAnsi="宋体" w:cs="宋体"/>
      <w:kern w:val="0"/>
      <w:sz w:val="22"/>
      <w:szCs w:val="22"/>
    </w:rPr>
  </w:style>
  <w:style w:type="paragraph" w:customStyle="1" w:styleId="63">
    <w:name w:val="1-正文"/>
    <w:basedOn w:val="1"/>
    <w:qFormat/>
    <w:uiPriority w:val="0"/>
    <w:pPr>
      <w:spacing w:after="60"/>
      <w:ind w:firstLine="200"/>
    </w:pPr>
  </w:style>
  <w:style w:type="paragraph" w:customStyle="1" w:styleId="64">
    <w:name w:val="正文小四"/>
    <w:basedOn w:val="1"/>
    <w:qFormat/>
    <w:uiPriority w:val="0"/>
    <w:pPr>
      <w:ind w:firstLine="200" w:firstLineChars="200"/>
    </w:pPr>
  </w:style>
  <w:style w:type="paragraph" w:customStyle="1" w:styleId="65">
    <w:name w:val="列出段落1"/>
    <w:basedOn w:val="1"/>
    <w:qFormat/>
    <w:uiPriority w:val="99"/>
    <w:pPr>
      <w:ind w:firstLine="420" w:firstLineChars="200"/>
    </w:pPr>
  </w:style>
  <w:style w:type="paragraph" w:customStyle="1" w:styleId="66">
    <w:name w:val="报告表正文"/>
    <w:basedOn w:val="1"/>
    <w:qFormat/>
    <w:uiPriority w:val="0"/>
    <w:pPr>
      <w:spacing w:line="480" w:lineRule="atLeast"/>
      <w:ind w:firstLine="960" w:firstLineChars="200"/>
    </w:pPr>
    <w:rPr>
      <w:rFonts w:hint="eastAsia"/>
      <w:sz w:val="24"/>
    </w:rPr>
  </w:style>
  <w:style w:type="paragraph" w:customStyle="1" w:styleId="67">
    <w:name w:val="正文样式"/>
    <w:basedOn w:val="1"/>
    <w:qFormat/>
    <w:uiPriority w:val="0"/>
    <w:pPr>
      <w:spacing w:line="360" w:lineRule="auto"/>
      <w:ind w:firstLine="480" w:firstLineChars="200"/>
    </w:pPr>
    <w:rPr>
      <w:rFonts w:ascii="Times New Roman" w:hAnsi="Times New Roman"/>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84307-1E29-4EFE-8304-87D5AFC4DEE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3099</Words>
  <Characters>3334</Characters>
  <Lines>2</Lines>
  <Paragraphs>5</Paragraphs>
  <TotalTime>0</TotalTime>
  <ScaleCrop>false</ScaleCrop>
  <LinksUpToDate>false</LinksUpToDate>
  <CharactersWithSpaces>3336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2021-05-27T09:11:00Z</dcterms:created>
  <dc:creator>admin</dc:creator>
  <cp:lastModifiedBy>松间明月</cp:lastModifiedBy>
  <cp:lastPrinted>2022-12-09T02:21:00Z</cp:lastPrinted>
  <dcterms:modified xsi:type="dcterms:W3CDTF">2023-01-03T05:25:12Z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C27613585DC9485C8D64C1812F9B7CF7</vt:lpwstr>
  </property>
</Properties>
</file>