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武汉宝钢包装有限公司沌口制罐分公司转换500罐型及升速到2400CPM项目竣工环保验收意见</w:t>
      </w:r>
    </w:p>
    <w:p>
      <w:pPr>
        <w:spacing w:line="420" w:lineRule="exact"/>
        <w:ind w:firstLine="482" w:firstLineChars="200"/>
        <w:jc w:val="left"/>
        <w:rPr>
          <w:rFonts w:ascii="仿宋" w:hAnsi="仿宋" w:eastAsia="仿宋"/>
          <w:b/>
          <w:sz w:val="24"/>
        </w:rPr>
      </w:pPr>
      <w:r>
        <w:rPr>
          <w:rFonts w:hint="eastAsia" w:ascii="仿宋" w:hAnsi="仿宋" w:eastAsia="仿宋"/>
          <w:b/>
          <w:sz w:val="24"/>
        </w:rPr>
        <w:t>2</w:t>
      </w:r>
      <w:r>
        <w:rPr>
          <w:rFonts w:ascii="仿宋" w:hAnsi="仿宋" w:eastAsia="仿宋"/>
          <w:b/>
          <w:sz w:val="24"/>
        </w:rPr>
        <w:t>02</w:t>
      </w:r>
      <w:r>
        <w:rPr>
          <w:rFonts w:hint="eastAsia" w:ascii="仿宋" w:hAnsi="仿宋" w:eastAsia="仿宋"/>
          <w:b/>
          <w:sz w:val="24"/>
        </w:rPr>
        <w:t>2</w:t>
      </w:r>
      <w:r>
        <w:rPr>
          <w:rFonts w:ascii="仿宋" w:hAnsi="仿宋" w:eastAsia="仿宋"/>
          <w:b/>
          <w:sz w:val="24"/>
        </w:rPr>
        <w:t>年</w:t>
      </w:r>
      <w:r>
        <w:rPr>
          <w:rFonts w:hint="eastAsia" w:ascii="仿宋" w:hAnsi="仿宋" w:eastAsia="仿宋"/>
          <w:b/>
          <w:sz w:val="24"/>
        </w:rPr>
        <w:t>03</w:t>
      </w:r>
      <w:r>
        <w:rPr>
          <w:rFonts w:ascii="仿宋" w:hAnsi="仿宋" w:eastAsia="仿宋"/>
          <w:b/>
          <w:sz w:val="24"/>
        </w:rPr>
        <w:t>月</w:t>
      </w:r>
      <w:r>
        <w:rPr>
          <w:rFonts w:hint="eastAsia" w:ascii="仿宋" w:hAnsi="仿宋" w:eastAsia="仿宋"/>
          <w:b/>
          <w:sz w:val="24"/>
        </w:rPr>
        <w:t>29</w:t>
      </w:r>
      <w:r>
        <w:rPr>
          <w:rFonts w:ascii="仿宋" w:hAnsi="仿宋" w:eastAsia="仿宋"/>
          <w:b/>
          <w:sz w:val="24"/>
        </w:rPr>
        <w:t>日，</w:t>
      </w:r>
      <w:r>
        <w:rPr>
          <w:rFonts w:hint="eastAsia" w:ascii="仿宋" w:hAnsi="仿宋" w:eastAsia="仿宋"/>
          <w:b/>
          <w:sz w:val="24"/>
        </w:rPr>
        <w:t>武汉宝钢包装有限公司沌口制罐分公司</w:t>
      </w:r>
      <w:r>
        <w:rPr>
          <w:rFonts w:ascii="仿宋" w:hAnsi="仿宋" w:eastAsia="仿宋"/>
          <w:b/>
          <w:sz w:val="24"/>
        </w:rPr>
        <w:t>根据</w:t>
      </w:r>
      <w:r>
        <w:rPr>
          <w:rFonts w:hint="eastAsia" w:ascii="仿宋" w:hAnsi="仿宋" w:eastAsia="仿宋"/>
          <w:b/>
          <w:sz w:val="24"/>
        </w:rPr>
        <w:t>《武汉宝钢包装有限公司沌口制罐分公司转换500罐型及升速到2400CPM项目竣工环境保护验收监测报告表》</w:t>
      </w:r>
      <w:r>
        <w:rPr>
          <w:rFonts w:ascii="仿宋" w:hAnsi="仿宋" w:eastAsia="仿宋"/>
          <w:b/>
          <w:sz w:val="24"/>
        </w:rPr>
        <w:t>，</w:t>
      </w:r>
      <w:r>
        <w:rPr>
          <w:rFonts w:hint="eastAsia" w:ascii="仿宋" w:hAnsi="仿宋" w:eastAsia="仿宋" w:cs="仿宋"/>
          <w:b/>
          <w:bCs/>
          <w:sz w:val="24"/>
        </w:rPr>
        <w:t>对照</w:t>
      </w:r>
      <w:r>
        <w:rPr>
          <w:rFonts w:hint="eastAsia" w:ascii="仿宋" w:hAnsi="仿宋" w:eastAsia="仿宋" w:cs="仿宋"/>
          <w:b/>
          <w:bCs/>
          <w:sz w:val="24"/>
          <w:lang w:val="zh-CN"/>
        </w:rPr>
        <w:t>《建设项目环境保护管理条例》、</w:t>
      </w:r>
      <w:r>
        <w:rPr>
          <w:rFonts w:hint="eastAsia" w:ascii="仿宋" w:hAnsi="仿宋" w:eastAsia="仿宋" w:cs="仿宋"/>
          <w:b/>
          <w:bCs/>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eastAsia" w:ascii="仿宋" w:hAnsi="仿宋" w:eastAsia="仿宋" w:cs="仿宋"/>
          <w:b/>
          <w:bCs/>
          <w:kern w:val="0"/>
          <w:sz w:val="24"/>
        </w:rPr>
        <w:t>。</w:t>
      </w:r>
    </w:p>
    <w:p>
      <w:pPr>
        <w:spacing w:line="312" w:lineRule="auto"/>
        <w:ind w:firstLine="482" w:firstLineChars="200"/>
        <w:rPr>
          <w:rFonts w:ascii="仿宋" w:hAnsi="仿宋" w:eastAsia="仿宋" w:cs="仿宋"/>
          <w:sz w:val="24"/>
        </w:rPr>
      </w:pPr>
      <w:r>
        <w:rPr>
          <w:rFonts w:hint="eastAsia" w:ascii="仿宋" w:hAnsi="仿宋" w:eastAsia="仿宋" w:cs="仿宋"/>
          <w:b/>
          <w:bCs/>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p>
    <w:p>
      <w:pPr>
        <w:spacing w:line="440" w:lineRule="exact"/>
        <w:ind w:firstLine="482" w:firstLineChars="200"/>
        <w:jc w:val="left"/>
        <w:rPr>
          <w:rFonts w:ascii="仿宋" w:hAnsi="仿宋" w:eastAsia="仿宋"/>
          <w:b/>
          <w:sz w:val="24"/>
        </w:rPr>
      </w:pPr>
      <w:r>
        <w:rPr>
          <w:rFonts w:ascii="仿宋" w:hAnsi="仿宋" w:eastAsia="仿宋"/>
          <w:b/>
          <w:sz w:val="24"/>
        </w:rPr>
        <w:t>一、工程建设基本情况</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1、建设地点、规模、主要建设内容</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武汉宝钢包装有限公司沌口制罐分公司转换500罐型及升速到2400CPM项目位于武汉经济技术开发区江城大道545号，项目主要建设内容为：对原有生产线进行技术改造并增加部分设备，使生产线速度提高至 2400 CPM（罐/每分钟），同时可完成 330ml 和 500ml 罐型切换。项目建成后可新增 330ml 罐型 1.38亿只和 500ml 罐型 2.12亿只。全厂年产规模由 6.3亿提升至 9.8亿只铝质易拉罐，包括 330ml 罐型 7.68亿只和 500ml 罐型2.12亿只。</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2、建设过程及环保审批情况</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武汉宝钢包装有限公司沌口制罐分公司2020年11月委托武汉智汇元环保科技有限公司承担“转换500罐型及升速到2400CPM项目”的环境影响评价工作（2021年2月呈报审批）。2021年3月武汉市生态环境局武汉经济技术开发区（汉南区）分局对该项目的环境影响报告表进行了批复（武经开环管[2021]21号）。</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本项目于2021年5月开工建设，2021年6月进入调试阶段，截至目前，项目各生产设施，环保设备等均能正常运行，达到竣工环境保护验收要求。</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3</w:t>
      </w:r>
      <w:r>
        <w:rPr>
          <w:rFonts w:ascii="仿宋" w:hAnsi="仿宋" w:eastAsia="仿宋"/>
          <w:b/>
          <w:sz w:val="24"/>
        </w:rPr>
        <w:t>、</w:t>
      </w:r>
      <w:r>
        <w:rPr>
          <w:rFonts w:hint="eastAsia" w:ascii="仿宋" w:hAnsi="仿宋" w:eastAsia="仿宋"/>
          <w:b/>
          <w:sz w:val="24"/>
        </w:rPr>
        <w:t>投资情况</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项目实际总投资7610.92万元，其中环保投资25万元，环保投资占总投资的比例为0.33%。</w:t>
      </w:r>
    </w:p>
    <w:p>
      <w:pPr>
        <w:widowControl/>
        <w:spacing w:line="440" w:lineRule="exact"/>
        <w:ind w:firstLine="482" w:firstLineChars="200"/>
        <w:jc w:val="left"/>
        <w:rPr>
          <w:rFonts w:eastAsia="仿宋"/>
        </w:rPr>
      </w:pPr>
      <w:r>
        <w:rPr>
          <w:rFonts w:hint="eastAsia" w:ascii="仿宋" w:hAnsi="仿宋" w:eastAsia="仿宋"/>
          <w:b/>
          <w:sz w:val="24"/>
        </w:rPr>
        <w:t>4、验收范围</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本次验收范围仅限汽车空调装配线、冲压线，生产规模为年产LOTUS空调总成25万套和上汽E2电池冷却器冲压叠片150万件（或套）。</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二、工程变动情况</w:t>
      </w:r>
    </w:p>
    <w:p>
      <w:pPr>
        <w:widowControl/>
        <w:spacing w:line="440" w:lineRule="exact"/>
        <w:ind w:firstLine="482" w:firstLineChars="200"/>
        <w:jc w:val="left"/>
        <w:rPr>
          <w:rFonts w:ascii="仿宋" w:hAnsi="仿宋" w:eastAsia="仿宋"/>
          <w:b/>
          <w:sz w:val="24"/>
        </w:rPr>
      </w:pPr>
      <w:r>
        <w:rPr>
          <w:rFonts w:hint="eastAsia" w:ascii="仿宋" w:hAnsi="仿宋" w:eastAsia="仿宋"/>
          <w:b/>
          <w:sz w:val="24"/>
        </w:rPr>
        <w:t>根据中华人民共和国生态环境部办公厅关于印发《污染影响类建设项目重大变动清单（试行）》的通知环办环评函【2020】688号可知，本次验收范围内的建设内容、建设地点、性质、规模、生产工艺及配套的环保设施均未涉及重大变更。</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三</w:t>
      </w:r>
      <w:r>
        <w:rPr>
          <w:rFonts w:ascii="仿宋" w:hAnsi="仿宋" w:eastAsia="仿宋"/>
          <w:b/>
          <w:sz w:val="24"/>
        </w:rPr>
        <w:t>、环境保护设施建设情况</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1）废气污染源、污染物及其处理排放流程</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 xml:space="preserve">项目有组织废气主要为酸性废气、锅炉废气、有机废气。  </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①酸性废气：主要污染物为硫酸雾、氟化物，来源于酸洗过程，产生的废气经管道收集后通过1根15m高排气筒（1#）高空排放。</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②锅炉废气：主要污染物为颗粒物、二氧化硫、氮氧化物，来源于燃气热水锅炉燃烧，产生的废气经管道收集后通过1根15m高排气筒（4#）高空排放。</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③有机废气：主要污染物为颗粒物、二氧化硫、氮氧化物、非甲烷总烃，来源于打底烘干、彩印烘干、内涂烘干，产生的废气收集后进入RTO炉，并和RTO炉燃烧废气一同由一根15m排气筒（3#）排放。</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④清洗烘干炉燃烧废气：主要污染物为烟尘、二氧化硫、氮氧化物，来源于罐体清洗后烘干产生，产生的废气经收集后由1根15m排气筒（2#）直接排放。</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无组织废气：主要污染物为氨、硫化氢、非甲烷总烃等，其中氨、硫化氢来源于污水处理站运行过程产生，非甲烷总烃为生产过程中未完全收集通过车间无组织排放产生。</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2）废水污染源、污染物及其处理排放流程</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项目不新增劳动定员，不新增生活污水，新增冷却液调配用水、清洗剂调配用水、罐体清洗用水、罐体清洗用水、纯水制备用水等生产废水，生产废水依托厂区原有污水处理站处理后汇入总排口进入市政管网。</w:t>
      </w:r>
    </w:p>
    <w:p>
      <w:p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rPr>
        <w:t>3）项目主要噪声源为冲杯机、拉伸机、彩印机、修边机、码垛机、缩颈翻边机、循环水泵、空压机、冷却塔等，主要设备采用加装减震垫、消音器等降噪措施，主要生产设备位于厂房内，通过厂房隔声等措施减少噪声对外界环境的影响。固体废物</w:t>
      </w:r>
    </w:p>
    <w:p>
      <w:pPr>
        <w:spacing w:line="440" w:lineRule="exact"/>
        <w:ind w:firstLine="482" w:firstLineChars="200"/>
        <w:jc w:val="left"/>
        <w:outlineLvl w:val="0"/>
        <w:rPr>
          <w:rFonts w:ascii="仿宋" w:hAnsi="仿宋" w:eastAsia="仿宋" w:cs="仿宋"/>
          <w:b/>
          <w:bCs/>
          <w:sz w:val="24"/>
        </w:rPr>
      </w:pPr>
      <w:r>
        <w:rPr>
          <w:rFonts w:hint="eastAsia" w:ascii="仿宋" w:hAnsi="仿宋" w:eastAsia="仿宋" w:cs="仿宋"/>
          <w:b/>
          <w:bCs/>
          <w:sz w:val="24"/>
        </w:rPr>
        <w:t>4）固体废物</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项目不新增劳动定员，不新增生活垃圾、食堂垃圾、隔油池废油，故项目产生的固废主要为一般固体废物和危险废物。</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一般固体废物：</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（1）铝质易拉罐生产中产生的废边角料以及不合格品经废料打包机打包后与废包装材料一并外售至物资回收单位。</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（2）项目打底和内涂等工序产生的废水性涂料（主要为白可丁、上光漆、底缘漆、内涂料等，不在《国家危险废物名录》（2021年版））及废水性涂料桶收集后外售至物资回收单位。</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危险废物：主要包括纯水制备工序产生的废树脂、拉伸工序产生的废乳化液、设备更换产生的废油、彩印工序产生的废油墨以及盛装乳化液、矿物油等的废空桶，其中废树脂、废油墨收集后委托湖北中油优艺环保科技有限公司处置，废乳化液、设备更换废油收集后委托黄冈市天一环保科技有限公司，废空桶收集后委托武汉鑫朗环保有限责任公司处置</w:t>
      </w:r>
    </w:p>
    <w:p>
      <w:pPr>
        <w:spacing w:line="440" w:lineRule="exact"/>
        <w:jc w:val="left"/>
        <w:outlineLvl w:val="0"/>
        <w:rPr>
          <w:rFonts w:ascii="仿宋" w:hAnsi="仿宋" w:eastAsia="仿宋"/>
          <w:b/>
          <w:sz w:val="24"/>
        </w:rPr>
      </w:pPr>
      <w:r>
        <w:rPr>
          <w:rFonts w:hint="eastAsia" w:ascii="仿宋" w:hAnsi="仿宋" w:eastAsia="仿宋"/>
          <w:b/>
          <w:sz w:val="24"/>
        </w:rPr>
        <w:t>四</w:t>
      </w:r>
      <w:r>
        <w:rPr>
          <w:rFonts w:ascii="仿宋" w:hAnsi="仿宋" w:eastAsia="仿宋"/>
          <w:b/>
          <w:sz w:val="24"/>
        </w:rPr>
        <w:t>、环境保护设施调试效果</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1）废水</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（1）污水处理站出口废水：</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验收监测期间，污水处理站出口废水中pH值为7.6~7.8、悬浮物最大日均值为8mg/L、化学需氧量最大日均值为64 mg/L、五日生化需氧量最大日均值为18.8mg/L、石油类最大日均值为1.79mg/L、氟化物最大日均值为9.48mg/L，监测结果均符合《污水综合排放标准》（GB 8978-1996）表4三级标准限值要求；氨氮最大日均值为0.808mg/L，满足《污水排入城镇下水道水质标准》（GB/T-31962-2015）表1B级标准限值要求；除氨氮因进口浓度较低、去除率为52.9%外，其余污染物去除效率为89.1%~82.8%。</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（2）总排口废水：验收监测期间，总排口废水中pH值为7.3~7.6、悬浮物最大日均值为21 mg/L、化学需氧量最大日均值为79 mg/L、五日生化需氧量最大日均值为23.1mg/L、石油类最大日均值为0.38 mg/L、动植物油最大日均值为 0.69 mg/L、氨氮最大日均值为5.90 mg/L、氟化物最大日均值为2.56 mg/L、阴离子表面活性剂未检出，氨氮监测结果符合《污水排入城镇下水道水质标准》（GB/T-31962-2015）B级标准限值要求，其余监测项目的监测结果均符合《污水综合排放标准》（GB 8978-1996）表4三级标准限值要求。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2）废气</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（1）有组织废气：</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①RTO炉燃烧废气：</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验收监测期间，RTO炉燃烧废气排气筒中非甲烷总烃最大排放浓度为7.24mg/m3，排放速率最大值为0.18kg/h，符合《湖北省印刷行业挥发性有机物排放标准》（DB 42/1538-2019）表1排放限值要求；RTO炉燃烧废气中颗粒物、氮氧化物最大排放浓度分别为3.0mg/m</w:t>
      </w:r>
      <w:r>
        <w:rPr>
          <w:rFonts w:hint="eastAsia" w:ascii="仿宋" w:hAnsi="仿宋" w:eastAsia="仿宋" w:cs="宋体"/>
          <w:b/>
          <w:kern w:val="0"/>
          <w:sz w:val="24"/>
          <w:vertAlign w:val="superscript"/>
        </w:rPr>
        <w:t>3</w:t>
      </w:r>
      <w:r>
        <w:rPr>
          <w:rFonts w:hint="eastAsia" w:ascii="仿宋" w:hAnsi="仿宋" w:eastAsia="仿宋" w:cs="宋体"/>
          <w:b/>
          <w:kern w:val="0"/>
          <w:sz w:val="24"/>
        </w:rPr>
        <w:t>、12mg/m</w:t>
      </w:r>
      <w:r>
        <w:rPr>
          <w:rFonts w:hint="eastAsia" w:ascii="仿宋" w:hAnsi="仿宋" w:eastAsia="仿宋" w:cs="宋体"/>
          <w:b/>
          <w:kern w:val="0"/>
          <w:sz w:val="24"/>
          <w:vertAlign w:val="superscript"/>
        </w:rPr>
        <w:t>3</w:t>
      </w:r>
      <w:r>
        <w:rPr>
          <w:rFonts w:hint="eastAsia" w:ascii="仿宋" w:hAnsi="仿宋" w:eastAsia="仿宋" w:cs="宋体"/>
          <w:b/>
          <w:kern w:val="0"/>
          <w:sz w:val="24"/>
        </w:rPr>
        <w:t>，颗粒物、氮氧化物最大排放速率分别为0.075kg/h、0.30kg/h，二氧化硫未检出，符合《大气污染物综合排放标准》（GB 16297-1996）表2最高允许排放浓度和最高允许排放速率二级限值要求。RTO炉对非甲烷总烃的处理效率为69.1%（由于进非甲烷总烃的浓度也低于《湖北省印刷行业挥发性有机物排放标准》（DB 42/1538-2019）表1排放限值，达不到RTO炉设计进气浓度要求，导致RTO炉实际处理效率低于设计处理效率。）</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②酸性废气：</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验收监测期间，酸性废气排气筒中硫酸雾、氟化物的最大排放浓度分别为0.3mg/m</w:t>
      </w:r>
      <w:r>
        <w:rPr>
          <w:rFonts w:hint="eastAsia" w:ascii="仿宋" w:hAnsi="仿宋" w:eastAsia="仿宋" w:cs="宋体"/>
          <w:b/>
          <w:kern w:val="0"/>
          <w:sz w:val="24"/>
          <w:vertAlign w:val="superscript"/>
        </w:rPr>
        <w:t>3</w:t>
      </w:r>
      <w:r>
        <w:rPr>
          <w:rFonts w:hint="eastAsia" w:ascii="仿宋" w:hAnsi="仿宋" w:eastAsia="仿宋" w:cs="宋体"/>
          <w:b/>
          <w:kern w:val="0"/>
          <w:sz w:val="24"/>
        </w:rPr>
        <w:t>、0.34mg/m</w:t>
      </w:r>
      <w:r>
        <w:rPr>
          <w:rFonts w:hint="eastAsia" w:ascii="仿宋" w:hAnsi="仿宋" w:eastAsia="仿宋" w:cs="宋体"/>
          <w:b/>
          <w:kern w:val="0"/>
          <w:sz w:val="24"/>
          <w:vertAlign w:val="superscript"/>
        </w:rPr>
        <w:t>3</w:t>
      </w:r>
      <w:r>
        <w:rPr>
          <w:rFonts w:hint="eastAsia" w:ascii="仿宋" w:hAnsi="仿宋" w:eastAsia="仿宋" w:cs="宋体"/>
          <w:b/>
          <w:kern w:val="0"/>
          <w:sz w:val="24"/>
        </w:rPr>
        <w:t>，硫酸雾、氟化物最大排放速率分别为7.4×10</w:t>
      </w:r>
      <w:r>
        <w:rPr>
          <w:rFonts w:hint="eastAsia" w:ascii="仿宋" w:hAnsi="仿宋" w:eastAsia="仿宋" w:cs="宋体"/>
          <w:b/>
          <w:kern w:val="0"/>
          <w:sz w:val="24"/>
          <w:vertAlign w:val="superscript"/>
        </w:rPr>
        <w:t>-3</w:t>
      </w:r>
      <w:r>
        <w:rPr>
          <w:rFonts w:hint="eastAsia" w:ascii="仿宋" w:hAnsi="仿宋" w:eastAsia="仿宋" w:cs="宋体"/>
          <w:b/>
          <w:kern w:val="0"/>
          <w:sz w:val="24"/>
        </w:rPr>
        <w:t>kg/h、9.9×10</w:t>
      </w:r>
      <w:r>
        <w:rPr>
          <w:rFonts w:hint="eastAsia" w:ascii="仿宋" w:hAnsi="仿宋" w:eastAsia="仿宋" w:cs="宋体"/>
          <w:b/>
          <w:kern w:val="0"/>
          <w:sz w:val="24"/>
          <w:vertAlign w:val="superscript"/>
        </w:rPr>
        <w:t>-4</w:t>
      </w:r>
      <w:r>
        <w:rPr>
          <w:rFonts w:hint="eastAsia" w:ascii="仿宋" w:hAnsi="仿宋" w:eastAsia="仿宋" w:cs="宋体"/>
          <w:b/>
          <w:kern w:val="0"/>
          <w:sz w:val="24"/>
        </w:rPr>
        <w:t>kg/h，符合《大气污染物综合排放标准》（GB 16297-1996）表2最高允许排放浓度和最高允许排放速率二级限值要求。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③清洗烘干炉燃烧废气：</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验收监测期间，清洗烘干炉燃烧废气排气筒中烟尘最大排放浓度为22.1mg/m</w:t>
      </w:r>
      <w:r>
        <w:rPr>
          <w:rFonts w:hint="eastAsia" w:ascii="仿宋" w:hAnsi="仿宋" w:eastAsia="仿宋" w:cs="宋体"/>
          <w:b/>
          <w:kern w:val="0"/>
          <w:sz w:val="24"/>
          <w:vertAlign w:val="superscript"/>
        </w:rPr>
        <w:t>3</w:t>
      </w:r>
      <w:r>
        <w:rPr>
          <w:rFonts w:hint="eastAsia" w:ascii="仿宋" w:hAnsi="仿宋" w:eastAsia="仿宋" w:cs="宋体"/>
          <w:b/>
          <w:kern w:val="0"/>
          <w:sz w:val="24"/>
        </w:rPr>
        <w:t>，符合《工业炉窑大气污染物排放标准》（GB 9078-1996）二级标准限值要求；氮氧化物的最大排放浓度、最大排放速率分别为14mg/m</w:t>
      </w:r>
      <w:r>
        <w:rPr>
          <w:rFonts w:hint="eastAsia" w:ascii="仿宋" w:hAnsi="仿宋" w:eastAsia="仿宋" w:cs="宋体"/>
          <w:b/>
          <w:kern w:val="0"/>
          <w:sz w:val="24"/>
          <w:vertAlign w:val="superscript"/>
        </w:rPr>
        <w:t>3</w:t>
      </w:r>
      <w:r>
        <w:rPr>
          <w:rFonts w:hint="eastAsia" w:ascii="仿宋" w:hAnsi="仿宋" w:eastAsia="仿宋" w:cs="宋体"/>
          <w:b/>
          <w:kern w:val="0"/>
          <w:sz w:val="24"/>
        </w:rPr>
        <w:t>、0.021kg/h，二氧化硫未检出，符合《大气污染物综合排放标准》（GB 16297-1996）表2最高允许排放浓度和最高允许排放速率二级限值要求。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（2）锅炉废气</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验收监测期间，燃气锅炉废气中颗粒物、氮氧化物排放浓度最大日均值分别为6.0mg/m</w:t>
      </w:r>
      <w:r>
        <w:rPr>
          <w:rFonts w:hint="eastAsia" w:ascii="仿宋" w:hAnsi="仿宋" w:eastAsia="仿宋" w:cs="宋体"/>
          <w:b/>
          <w:kern w:val="0"/>
          <w:sz w:val="24"/>
          <w:vertAlign w:val="superscript"/>
        </w:rPr>
        <w:t>3</w:t>
      </w:r>
      <w:r>
        <w:rPr>
          <w:rFonts w:hint="eastAsia" w:ascii="仿宋" w:hAnsi="仿宋" w:eastAsia="仿宋" w:cs="宋体"/>
          <w:b/>
          <w:kern w:val="0"/>
          <w:sz w:val="24"/>
        </w:rPr>
        <w:t>、43mg/m</w:t>
      </w:r>
      <w:r>
        <w:rPr>
          <w:rFonts w:hint="eastAsia" w:ascii="仿宋" w:hAnsi="仿宋" w:eastAsia="仿宋" w:cs="宋体"/>
          <w:b/>
          <w:kern w:val="0"/>
          <w:sz w:val="24"/>
          <w:vertAlign w:val="superscript"/>
        </w:rPr>
        <w:t>3</w:t>
      </w:r>
      <w:r>
        <w:rPr>
          <w:rFonts w:hint="eastAsia" w:ascii="仿宋" w:hAnsi="仿宋" w:eastAsia="仿宋" w:cs="宋体"/>
          <w:b/>
          <w:kern w:val="0"/>
          <w:sz w:val="24"/>
        </w:rPr>
        <w:t>，二氧化硫均未检出，均符合《锅炉大气污染物排放标准》（GB 13271-2014）表3中燃气锅炉标准限值要求。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（3）无组织废气</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①厂界无组织废气：验收监测期间，厂界无组织废气中氨最大值为0.11mg/m</w:t>
      </w:r>
      <w:r>
        <w:rPr>
          <w:rFonts w:hint="eastAsia" w:ascii="仿宋" w:hAnsi="仿宋" w:eastAsia="仿宋" w:cs="宋体"/>
          <w:b/>
          <w:kern w:val="0"/>
          <w:sz w:val="24"/>
          <w:vertAlign w:val="superscript"/>
        </w:rPr>
        <w:t>3</w:t>
      </w:r>
      <w:r>
        <w:rPr>
          <w:rFonts w:hint="eastAsia" w:ascii="仿宋" w:hAnsi="仿宋" w:eastAsia="仿宋" w:cs="宋体"/>
          <w:b/>
          <w:kern w:val="0"/>
          <w:sz w:val="24"/>
        </w:rPr>
        <w:t>，硫化氢最大值为0.008mg/m</w:t>
      </w:r>
      <w:r>
        <w:rPr>
          <w:rFonts w:hint="eastAsia" w:ascii="仿宋" w:hAnsi="仿宋" w:eastAsia="仿宋" w:cs="宋体"/>
          <w:b/>
          <w:kern w:val="0"/>
          <w:sz w:val="24"/>
          <w:vertAlign w:val="superscript"/>
        </w:rPr>
        <w:t>3</w:t>
      </w:r>
      <w:r>
        <w:rPr>
          <w:rFonts w:hint="eastAsia" w:ascii="仿宋" w:hAnsi="仿宋" w:eastAsia="仿宋" w:cs="宋体"/>
          <w:b/>
          <w:kern w:val="0"/>
          <w:sz w:val="24"/>
        </w:rPr>
        <w:t>，臭气浓度监测结果均&lt;10（无量纲），符合《恶臭污染物排放标准》（GB14554-93）表1二级新扩改建标准限值要求，非甲烷总烃监测结果最大值为1.52mg/m</w:t>
      </w:r>
      <w:r>
        <w:rPr>
          <w:rFonts w:hint="eastAsia" w:ascii="仿宋" w:hAnsi="仿宋" w:eastAsia="仿宋" w:cs="宋体"/>
          <w:b/>
          <w:kern w:val="0"/>
          <w:sz w:val="24"/>
          <w:vertAlign w:val="superscript"/>
        </w:rPr>
        <w:t>3</w:t>
      </w:r>
      <w:r>
        <w:rPr>
          <w:rFonts w:hint="eastAsia" w:ascii="仿宋" w:hAnsi="仿宋" w:eastAsia="仿宋" w:cs="宋体"/>
          <w:b/>
          <w:kern w:val="0"/>
          <w:sz w:val="24"/>
        </w:rPr>
        <w:t>，符合《湖北省印刷行业挥发性有机物排放标准》（DB 42/1538-2019）表2排放限值要求。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②厂区内无组织废气：验收监测期间，厂区内生产车间彩印工序窗外1m处无组织废气中非甲烷总烃最大值为1.90mg/m</w:t>
      </w:r>
      <w:r>
        <w:rPr>
          <w:rFonts w:hint="eastAsia" w:ascii="仿宋" w:hAnsi="仿宋" w:eastAsia="仿宋" w:cs="宋体"/>
          <w:b/>
          <w:kern w:val="0"/>
          <w:sz w:val="24"/>
          <w:vertAlign w:val="superscript"/>
        </w:rPr>
        <w:t>3</w:t>
      </w:r>
      <w:r>
        <w:rPr>
          <w:rFonts w:hint="eastAsia" w:ascii="仿宋" w:hAnsi="仿宋" w:eastAsia="仿宋" w:cs="宋体"/>
          <w:b/>
          <w:kern w:val="0"/>
          <w:sz w:val="24"/>
        </w:rPr>
        <w:t>，符合《湖北省印刷行业挥发性有机物排放标准》（DB 42/1538-2019）附录B表B.1排放限值1小时平均浓度限值要求。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3）噪声</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验收监测期间，本项目厂界东外1米处1#、厂界南外1米处2#、厂界西外1米处3#、厂界北外1米处4#噪声昼间、夜间监测结果均符合《工业企业厂界环境噪声排放标准》（GB 12348-2008）3类标准限值要求。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4）总量控制</w:t>
      </w:r>
    </w:p>
    <w:p>
      <w:pPr>
        <w:pStyle w:val="64"/>
        <w:spacing w:line="440" w:lineRule="exact"/>
        <w:ind w:firstLine="482"/>
        <w:rPr>
          <w:rFonts w:hint="default" w:ascii="仿宋" w:hAnsi="仿宋" w:eastAsia="仿宋" w:cs="仿宋"/>
          <w:b/>
          <w:bCs/>
        </w:rPr>
      </w:pPr>
      <w:r>
        <w:rPr>
          <w:rFonts w:ascii="仿宋" w:hAnsi="仿宋" w:eastAsia="仿宋" w:cs="仿宋"/>
          <w:b/>
          <w:bCs/>
        </w:rPr>
        <w:t>项目实际排放总量满足环评总量控制指标要求。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b/>
          <w:sz w:val="24"/>
        </w:rPr>
        <w:t>六</w:t>
      </w:r>
      <w:r>
        <w:rPr>
          <w:rFonts w:ascii="仿宋" w:hAnsi="仿宋" w:eastAsia="仿宋"/>
          <w:b/>
          <w:sz w:val="24"/>
        </w:rPr>
        <w:t>、后续要求与建议</w:t>
      </w:r>
    </w:p>
    <w:p>
      <w:pPr>
        <w:spacing w:line="440" w:lineRule="exact"/>
        <w:ind w:firstLine="482" w:firstLineChars="200"/>
        <w:rPr>
          <w:rFonts w:ascii="仿宋" w:hAnsi="仿宋" w:eastAsia="仿宋" w:cs="仿宋"/>
          <w:b/>
          <w:bCs/>
          <w:sz w:val="24"/>
        </w:rPr>
      </w:pPr>
      <w:r>
        <w:rPr>
          <w:rFonts w:ascii="仿宋" w:hAnsi="仿宋" w:eastAsia="仿宋" w:cs="仿宋"/>
          <w:b/>
          <w:bCs/>
          <w:sz w:val="24"/>
        </w:rPr>
        <w:t>1</w:t>
      </w:r>
      <w:r>
        <w:rPr>
          <w:rFonts w:hint="eastAsia" w:ascii="仿宋" w:hAnsi="仿宋" w:eastAsia="仿宋" w:cs="仿宋"/>
          <w:b/>
          <w:bCs/>
          <w:sz w:val="24"/>
        </w:rPr>
        <w:t>、按环评及其批复要求，进一步核实项目变更情况并进行环境合理性分析。</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lang w:val="en-US" w:eastAsia="zh-CN"/>
        </w:rPr>
        <w:t>2</w:t>
      </w:r>
      <w:r>
        <w:rPr>
          <w:rFonts w:hint="eastAsia" w:ascii="仿宋" w:hAnsi="仿宋" w:eastAsia="仿宋" w:cs="仿宋"/>
          <w:b/>
          <w:bCs/>
          <w:sz w:val="24"/>
        </w:rPr>
        <w:t>、按国家相关标准、规范要求，进一步完善项目危废暂存间的建设（防渗、分区、标签标牌、管理制度、台账记录等）。</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rPr>
        <w:t>、完善项目环保设施标识、标牌、应急处置卡设置，污染治理设施工艺流程及运行管理制度应上墙。</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lang w:val="en-US" w:eastAsia="zh-CN"/>
        </w:rPr>
        <w:t>4</w:t>
      </w:r>
      <w:r>
        <w:rPr>
          <w:rFonts w:hint="eastAsia" w:ascii="仿宋" w:hAnsi="仿宋" w:eastAsia="仿宋" w:cs="仿宋"/>
          <w:b/>
          <w:bCs/>
          <w:sz w:val="24"/>
        </w:rPr>
        <w:t>、在环境管理检查中，说明项目环境监察情况（有无环境纠纷、污染投诉、环保处罚等）；说明项目排污许可制度落实情况。</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lang w:val="en-US" w:eastAsia="zh-CN"/>
        </w:rPr>
        <w:t>5</w:t>
      </w:r>
      <w:r>
        <w:rPr>
          <w:rFonts w:hint="eastAsia" w:ascii="仿宋" w:hAnsi="仿宋" w:eastAsia="仿宋" w:cs="仿宋"/>
          <w:b/>
          <w:bCs/>
          <w:sz w:val="24"/>
        </w:rPr>
        <w:t>、完善附图附件，补充污水处理站第三方运维协议等作为报告附件；补充项目分区防渗图。</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七、验收结论</w:t>
      </w:r>
    </w:p>
    <w:p>
      <w:pPr>
        <w:widowControl/>
        <w:spacing w:line="440" w:lineRule="exact"/>
        <w:ind w:firstLine="482" w:firstLineChars="200"/>
        <w:jc w:val="left"/>
        <w:rPr>
          <w:rFonts w:ascii="仿宋" w:hAnsi="仿宋" w:eastAsia="仿宋" w:cs="仿宋"/>
          <w:b/>
          <w:bCs/>
          <w:kern w:val="0"/>
          <w:sz w:val="24"/>
        </w:rPr>
      </w:pPr>
      <w:r>
        <w:rPr>
          <w:rFonts w:hint="eastAsia" w:ascii="仿宋" w:hAnsi="仿宋" w:eastAsia="仿宋" w:cs="仿宋"/>
          <w:b/>
          <w:kern w:val="0"/>
          <w:sz w:val="24"/>
        </w:rPr>
        <w:t>武汉宝钢包装有限公司沌口制罐分公司转换500罐型及升速到2400CPM项目在</w:t>
      </w:r>
      <w:r>
        <w:rPr>
          <w:rFonts w:hint="eastAsia" w:ascii="仿宋" w:hAnsi="仿宋" w:eastAsia="仿宋" w:cs="仿宋"/>
          <w:b/>
          <w:bCs/>
          <w:kern w:val="0"/>
          <w:sz w:val="24"/>
        </w:rPr>
        <w:t>实施过程中，按照国家建设项目环境保护“三同时”制度，落实了环评报告表及其审批文件中提出的污染防治措施，建设地点、建设性质、建设规模、工艺流程和环保设施等无重大变更。从验收监测单位提供的</w:t>
      </w:r>
      <w:r>
        <w:rPr>
          <w:rFonts w:hint="eastAsia" w:ascii="仿宋" w:hAnsi="仿宋" w:eastAsia="仿宋" w:cs="仿宋"/>
          <w:b/>
          <w:kern w:val="0"/>
          <w:sz w:val="24"/>
        </w:rPr>
        <w:t>监测结果来看，项目产生的各类污染物排放满足相关标准要求。验收组结合现场实际情况认为，在企业对上述存在问题进行整改、验收监测报告编制单位按照验收组提出的意见对《验收监测报告》认真修改完善后，本项目总体符合建设项目竣工</w:t>
      </w:r>
      <w:r>
        <w:rPr>
          <w:rFonts w:hint="eastAsia" w:ascii="仿宋" w:hAnsi="仿宋" w:eastAsia="仿宋" w:cs="仿宋"/>
          <w:b/>
          <w:bCs/>
          <w:kern w:val="0"/>
          <w:sz w:val="24"/>
        </w:rPr>
        <w:t>环保验收条件。</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八、验收人员信息</w:t>
      </w:r>
    </w:p>
    <w:p>
      <w:pPr>
        <w:widowControl/>
        <w:spacing w:line="440" w:lineRule="exact"/>
        <w:ind w:firstLine="482" w:firstLineChars="200"/>
        <w:jc w:val="left"/>
      </w:pPr>
      <w:r>
        <w:rPr>
          <w:rFonts w:hint="eastAsia" w:ascii="仿宋" w:hAnsi="仿宋" w:eastAsia="仿宋" w:cs="宋体"/>
          <w:b/>
          <w:kern w:val="0"/>
          <w:sz w:val="24"/>
        </w:rPr>
        <w:t>验收工作组成员名单及信息附后。</w:t>
      </w:r>
    </w:p>
    <w:p>
      <w:pPr>
        <w:spacing w:line="360" w:lineRule="auto"/>
        <w:jc w:val="right"/>
        <w:rPr>
          <w:rFonts w:ascii="仿宋" w:hAnsi="仿宋" w:eastAsia="仿宋"/>
          <w:b/>
          <w:sz w:val="24"/>
        </w:rPr>
      </w:pPr>
      <w:r>
        <w:rPr>
          <w:rFonts w:hint="eastAsia" w:ascii="仿宋" w:hAnsi="仿宋" w:eastAsia="仿宋"/>
          <w:b/>
          <w:sz w:val="24"/>
        </w:rPr>
        <w:t>武汉宝钢包装有限公司沌口制罐分公司</w:t>
      </w:r>
    </w:p>
    <w:p>
      <w:pPr>
        <w:spacing w:line="360" w:lineRule="auto"/>
        <w:jc w:val="right"/>
        <w:rPr>
          <w:rFonts w:ascii="仿宋" w:hAnsi="仿宋" w:eastAsia="仿宋"/>
          <w:b/>
          <w:sz w:val="24"/>
        </w:rPr>
      </w:pPr>
      <w:r>
        <w:rPr>
          <w:rFonts w:hint="eastAsia" w:ascii="仿宋" w:hAnsi="仿宋" w:eastAsia="仿宋"/>
          <w:b/>
          <w:sz w:val="24"/>
        </w:rPr>
        <w:t>转换500罐型及升速到2400CPM项目环保</w:t>
      </w:r>
      <w:r>
        <w:rPr>
          <w:rFonts w:ascii="仿宋" w:hAnsi="仿宋" w:eastAsia="仿宋"/>
          <w:b/>
          <w:sz w:val="24"/>
        </w:rPr>
        <w:t>验收组</w:t>
      </w:r>
    </w:p>
    <w:p>
      <w:pPr>
        <w:pStyle w:val="29"/>
        <w:spacing w:line="360" w:lineRule="auto"/>
        <w:jc w:val="right"/>
        <w:rPr>
          <w:rFonts w:hint="eastAsia" w:ascii="仿宋" w:hAnsi="仿宋" w:eastAsia="仿宋" w:cs="仿宋"/>
          <w:b/>
          <w:color w:val="auto"/>
        </w:rPr>
      </w:pPr>
      <w:r>
        <w:rPr>
          <w:rFonts w:ascii="仿宋" w:hAnsi="仿宋" w:eastAsia="仿宋" w:cs="仿宋"/>
          <w:b/>
          <w:color w:val="auto"/>
        </w:rPr>
        <w:t>202</w:t>
      </w:r>
      <w:r>
        <w:rPr>
          <w:rFonts w:hint="eastAsia" w:ascii="仿宋" w:hAnsi="仿宋" w:eastAsia="仿宋" w:cs="仿宋"/>
          <w:b/>
          <w:color w:val="auto"/>
        </w:rPr>
        <w:t>2</w:t>
      </w:r>
      <w:r>
        <w:rPr>
          <w:rFonts w:ascii="仿宋" w:hAnsi="仿宋" w:eastAsia="仿宋" w:cs="仿宋"/>
          <w:b/>
          <w:color w:val="auto"/>
        </w:rPr>
        <w:t>年</w:t>
      </w:r>
      <w:r>
        <w:rPr>
          <w:rFonts w:hint="eastAsia" w:ascii="仿宋" w:hAnsi="仿宋" w:eastAsia="仿宋" w:cs="仿宋"/>
          <w:b/>
          <w:color w:val="auto"/>
        </w:rPr>
        <w:t>03</w:t>
      </w:r>
      <w:r>
        <w:rPr>
          <w:rFonts w:ascii="仿宋" w:hAnsi="仿宋" w:eastAsia="仿宋" w:cs="仿宋"/>
          <w:b/>
          <w:color w:val="auto"/>
        </w:rPr>
        <w:t>月</w:t>
      </w:r>
      <w:r>
        <w:rPr>
          <w:rFonts w:hint="eastAsia" w:ascii="仿宋" w:hAnsi="仿宋" w:eastAsia="仿宋" w:cs="仿宋"/>
          <w:b/>
          <w:color w:val="auto"/>
        </w:rPr>
        <w:t>29日</w:t>
      </w:r>
    </w:p>
    <w:p>
      <w:pPr>
        <w:pStyle w:val="19"/>
        <w:rPr>
          <w:rFonts w:hint="eastAsia" w:eastAsia="仿宋"/>
          <w:lang w:eastAsia="zh-CN"/>
        </w:rPr>
      </w:pPr>
      <w:r>
        <w:rPr>
          <w:rFonts w:hint="eastAsia" w:eastAsia="仿宋"/>
          <w:lang w:eastAsia="zh-CN"/>
        </w:rPr>
        <w:drawing>
          <wp:inline distT="0" distB="0" distL="114300" distR="114300">
            <wp:extent cx="6186170" cy="8751570"/>
            <wp:effectExtent l="0" t="0" r="5080" b="11430"/>
            <wp:docPr id="2" name="图片 2" descr="20220413155546-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20413155546-0001"/>
                    <pic:cNvPicPr>
                      <a:picLocks noChangeAspect="1"/>
                    </pic:cNvPicPr>
                  </pic:nvPicPr>
                  <pic:blipFill>
                    <a:blip r:embed="rId5"/>
                    <a:stretch>
                      <a:fillRect/>
                    </a:stretch>
                  </pic:blipFill>
                  <pic:spPr>
                    <a:xfrm>
                      <a:off x="0" y="0"/>
                      <a:ext cx="6186170" cy="8751570"/>
                    </a:xfrm>
                    <a:prstGeom prst="rect">
                      <a:avLst/>
                    </a:prstGeom>
                  </pic:spPr>
                </pic:pic>
              </a:graphicData>
            </a:graphic>
          </wp:inline>
        </w:drawing>
      </w:r>
      <w:bookmarkStart w:id="0" w:name="_GoBack"/>
      <w:bookmarkEnd w:id="0"/>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D7937"/>
    <w:multiLevelType w:val="singleLevel"/>
    <w:tmpl w:val="39CD7937"/>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544D6817"/>
    <w:multiLevelType w:val="multilevel"/>
    <w:tmpl w:val="544D6817"/>
    <w:lvl w:ilvl="0" w:tentative="0">
      <w:start w:val="1"/>
      <w:numFmt w:val="decimal"/>
      <w:pStyle w:val="4"/>
      <w:lvlText w:val="%1"/>
      <w:lvlJc w:val="left"/>
      <w:pPr>
        <w:tabs>
          <w:tab w:val="left" w:pos="432"/>
        </w:tabs>
        <w:ind w:left="432" w:hanging="432"/>
      </w:pPr>
      <w:rPr>
        <w:rFonts w:hint="eastAsia"/>
      </w:rPr>
    </w:lvl>
    <w:lvl w:ilvl="1" w:tentative="0">
      <w:start w:val="1"/>
      <w:numFmt w:val="decimal"/>
      <w:pStyle w:val="5"/>
      <w:lvlText w:val="%2"/>
      <w:lvlJc w:val="left"/>
      <w:pPr>
        <w:tabs>
          <w:tab w:val="left" w:pos="567"/>
        </w:tabs>
        <w:ind w:left="567" w:hanging="567"/>
      </w:pPr>
      <w:rPr>
        <w:rFonts w:hint="eastAsia"/>
      </w:rPr>
    </w:lvl>
    <w:lvl w:ilvl="2" w:tentative="0">
      <w:start w:val="1"/>
      <w:numFmt w:val="decimal"/>
      <w:pStyle w:val="7"/>
      <w:lvlText w:val="%2.%3"/>
      <w:lvlJc w:val="left"/>
      <w:pPr>
        <w:tabs>
          <w:tab w:val="left" w:pos="720"/>
        </w:tabs>
        <w:ind w:left="720" w:hanging="720"/>
      </w:pPr>
      <w:rPr>
        <w:rFonts w:hint="default" w:ascii="Times New Roman" w:hAnsi="Times New Roman" w:cs="Times New Roman"/>
      </w:rPr>
    </w:lvl>
    <w:lvl w:ilvl="3" w:tentative="0">
      <w:start w:val="1"/>
      <w:numFmt w:val="decimal"/>
      <w:pStyle w:val="8"/>
      <w:lvlText w:val="%2.%3.%4"/>
      <w:lvlJc w:val="left"/>
      <w:pPr>
        <w:tabs>
          <w:tab w:val="left" w:pos="1287"/>
        </w:tabs>
        <w:ind w:left="1287" w:hanging="720"/>
      </w:pPr>
      <w:rPr>
        <w:rFonts w:hint="eastAsia"/>
      </w:rPr>
    </w:lvl>
    <w:lvl w:ilvl="4" w:tentative="0">
      <w:start w:val="1"/>
      <w:numFmt w:val="decimal"/>
      <w:pStyle w:val="9"/>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10"/>
      <w:lvlText w:val="%1.%2.%3.%4.%5.%6"/>
      <w:lvlJc w:val="left"/>
      <w:pPr>
        <w:tabs>
          <w:tab w:val="left" w:pos="1152"/>
        </w:tabs>
        <w:ind w:left="1152" w:hanging="1152"/>
      </w:pPr>
      <w:rPr>
        <w:rFonts w:hint="eastAsia"/>
      </w:rPr>
    </w:lvl>
    <w:lvl w:ilvl="6" w:tentative="0">
      <w:start w:val="1"/>
      <w:numFmt w:val="decimal"/>
      <w:pStyle w:val="11"/>
      <w:lvlText w:val="%1.%2.%3.%4.%5.%6.%7"/>
      <w:lvlJc w:val="left"/>
      <w:pPr>
        <w:tabs>
          <w:tab w:val="left" w:pos="1296"/>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E57E92"/>
    <w:rsid w:val="040449B4"/>
    <w:rsid w:val="04603E27"/>
    <w:rsid w:val="048D730D"/>
    <w:rsid w:val="04A04307"/>
    <w:rsid w:val="04B25E79"/>
    <w:rsid w:val="04D127FE"/>
    <w:rsid w:val="04E97827"/>
    <w:rsid w:val="05541C54"/>
    <w:rsid w:val="055A3260"/>
    <w:rsid w:val="06033E66"/>
    <w:rsid w:val="07256CFE"/>
    <w:rsid w:val="0769378A"/>
    <w:rsid w:val="083F4FA4"/>
    <w:rsid w:val="08597654"/>
    <w:rsid w:val="08E60555"/>
    <w:rsid w:val="09AB5E02"/>
    <w:rsid w:val="09F4565E"/>
    <w:rsid w:val="09F67F85"/>
    <w:rsid w:val="0A4759EB"/>
    <w:rsid w:val="0C1D249A"/>
    <w:rsid w:val="0E1A10EE"/>
    <w:rsid w:val="0E830D7D"/>
    <w:rsid w:val="0EDF6A37"/>
    <w:rsid w:val="0F345506"/>
    <w:rsid w:val="100A6F70"/>
    <w:rsid w:val="113A2ED9"/>
    <w:rsid w:val="11A54A50"/>
    <w:rsid w:val="12905590"/>
    <w:rsid w:val="12B3383D"/>
    <w:rsid w:val="14923051"/>
    <w:rsid w:val="15DC0CFF"/>
    <w:rsid w:val="16662C9A"/>
    <w:rsid w:val="17E749F4"/>
    <w:rsid w:val="18173103"/>
    <w:rsid w:val="199A7D2F"/>
    <w:rsid w:val="19C958B7"/>
    <w:rsid w:val="19ED04F1"/>
    <w:rsid w:val="1B91415D"/>
    <w:rsid w:val="1C6349A3"/>
    <w:rsid w:val="1CAB7481"/>
    <w:rsid w:val="1CC55FA0"/>
    <w:rsid w:val="1CE568DC"/>
    <w:rsid w:val="1CE60755"/>
    <w:rsid w:val="1E8F0EA6"/>
    <w:rsid w:val="1EDF6194"/>
    <w:rsid w:val="1FFD097B"/>
    <w:rsid w:val="21E16551"/>
    <w:rsid w:val="22340AF1"/>
    <w:rsid w:val="22407E00"/>
    <w:rsid w:val="23053713"/>
    <w:rsid w:val="23926914"/>
    <w:rsid w:val="23E4633C"/>
    <w:rsid w:val="23FF0527"/>
    <w:rsid w:val="24CD53AF"/>
    <w:rsid w:val="24D40764"/>
    <w:rsid w:val="24E65990"/>
    <w:rsid w:val="25A400FF"/>
    <w:rsid w:val="25EA5EF6"/>
    <w:rsid w:val="280312A6"/>
    <w:rsid w:val="287D78ED"/>
    <w:rsid w:val="290E77FC"/>
    <w:rsid w:val="29973FDA"/>
    <w:rsid w:val="2B9A7DAE"/>
    <w:rsid w:val="2C2B48BE"/>
    <w:rsid w:val="2CD237A3"/>
    <w:rsid w:val="2D022791"/>
    <w:rsid w:val="2D1B2BCF"/>
    <w:rsid w:val="2D2C5AB7"/>
    <w:rsid w:val="2D556E85"/>
    <w:rsid w:val="2D984466"/>
    <w:rsid w:val="2DF10D15"/>
    <w:rsid w:val="2E3B1CC6"/>
    <w:rsid w:val="2E781959"/>
    <w:rsid w:val="2E7A3577"/>
    <w:rsid w:val="2ECE240D"/>
    <w:rsid w:val="2FAD1813"/>
    <w:rsid w:val="313F233C"/>
    <w:rsid w:val="34150141"/>
    <w:rsid w:val="351615F2"/>
    <w:rsid w:val="366A7A95"/>
    <w:rsid w:val="36FA3B96"/>
    <w:rsid w:val="37346038"/>
    <w:rsid w:val="375A492F"/>
    <w:rsid w:val="38CA3A27"/>
    <w:rsid w:val="396607FF"/>
    <w:rsid w:val="39BF6C4E"/>
    <w:rsid w:val="3A9445C9"/>
    <w:rsid w:val="3AE27DEB"/>
    <w:rsid w:val="3BAB5D90"/>
    <w:rsid w:val="3EC165C1"/>
    <w:rsid w:val="3F300537"/>
    <w:rsid w:val="3F787261"/>
    <w:rsid w:val="3F84554C"/>
    <w:rsid w:val="401C3FA7"/>
    <w:rsid w:val="403509B9"/>
    <w:rsid w:val="40C51BFE"/>
    <w:rsid w:val="425035C8"/>
    <w:rsid w:val="425C5113"/>
    <w:rsid w:val="42E1587C"/>
    <w:rsid w:val="431851BA"/>
    <w:rsid w:val="439457DA"/>
    <w:rsid w:val="43BF78DC"/>
    <w:rsid w:val="44542E74"/>
    <w:rsid w:val="44847599"/>
    <w:rsid w:val="45135A34"/>
    <w:rsid w:val="458325F7"/>
    <w:rsid w:val="462A4963"/>
    <w:rsid w:val="46C11F55"/>
    <w:rsid w:val="479B4E15"/>
    <w:rsid w:val="487E323B"/>
    <w:rsid w:val="4886327B"/>
    <w:rsid w:val="488E03B7"/>
    <w:rsid w:val="492B079D"/>
    <w:rsid w:val="492B62D1"/>
    <w:rsid w:val="4A5236B8"/>
    <w:rsid w:val="4AE923E7"/>
    <w:rsid w:val="4AF77CAF"/>
    <w:rsid w:val="4B5835DA"/>
    <w:rsid w:val="4B9B038A"/>
    <w:rsid w:val="4FB17891"/>
    <w:rsid w:val="50F911EF"/>
    <w:rsid w:val="51DD4401"/>
    <w:rsid w:val="526017E3"/>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CF46D13"/>
    <w:rsid w:val="5D310964"/>
    <w:rsid w:val="5D4A59DB"/>
    <w:rsid w:val="5E264030"/>
    <w:rsid w:val="5E553FCC"/>
    <w:rsid w:val="5E8E627C"/>
    <w:rsid w:val="5F2A3FEC"/>
    <w:rsid w:val="607A59CB"/>
    <w:rsid w:val="61742145"/>
    <w:rsid w:val="617472C0"/>
    <w:rsid w:val="61903EFF"/>
    <w:rsid w:val="626B3B77"/>
    <w:rsid w:val="63024F53"/>
    <w:rsid w:val="63CF4B90"/>
    <w:rsid w:val="65330753"/>
    <w:rsid w:val="664E589F"/>
    <w:rsid w:val="67006728"/>
    <w:rsid w:val="68A034E3"/>
    <w:rsid w:val="6914498A"/>
    <w:rsid w:val="6AE03D68"/>
    <w:rsid w:val="6B082FB4"/>
    <w:rsid w:val="6B751522"/>
    <w:rsid w:val="6CD402CD"/>
    <w:rsid w:val="6F38381C"/>
    <w:rsid w:val="6F9C46FB"/>
    <w:rsid w:val="6FFB1086"/>
    <w:rsid w:val="705C5AF8"/>
    <w:rsid w:val="70646001"/>
    <w:rsid w:val="718B547D"/>
    <w:rsid w:val="71DE07D3"/>
    <w:rsid w:val="726A54B2"/>
    <w:rsid w:val="727974EC"/>
    <w:rsid w:val="74FA5282"/>
    <w:rsid w:val="759879A5"/>
    <w:rsid w:val="76293CA6"/>
    <w:rsid w:val="76D30133"/>
    <w:rsid w:val="771536C7"/>
    <w:rsid w:val="790243D4"/>
    <w:rsid w:val="7C772BB9"/>
    <w:rsid w:val="7C7F5AE4"/>
    <w:rsid w:val="7D0241D1"/>
    <w:rsid w:val="7D6E69D8"/>
    <w:rsid w:val="7DE61B03"/>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5">
    <w:name w:val="heading 2"/>
    <w:basedOn w:val="1"/>
    <w:next w:val="6"/>
    <w:link w:val="32"/>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7">
    <w:name w:val="heading 3"/>
    <w:basedOn w:val="1"/>
    <w:next w:val="6"/>
    <w:link w:val="33"/>
    <w:qFormat/>
    <w:uiPriority w:val="0"/>
    <w:pPr>
      <w:numPr>
        <w:ilvl w:val="2"/>
        <w:numId w:val="1"/>
      </w:numPr>
      <w:spacing w:before="400" w:after="200" w:line="360" w:lineRule="auto"/>
      <w:outlineLvl w:val="2"/>
    </w:pPr>
    <w:rPr>
      <w:rFonts w:ascii="宋体" w:hAnsi="宋体"/>
      <w:b/>
      <w:kern w:val="0"/>
      <w:sz w:val="24"/>
      <w:szCs w:val="20"/>
    </w:rPr>
  </w:style>
  <w:style w:type="paragraph" w:styleId="8">
    <w:name w:val="heading 4"/>
    <w:basedOn w:val="1"/>
    <w:next w:val="6"/>
    <w:link w:val="34"/>
    <w:qFormat/>
    <w:uiPriority w:val="0"/>
    <w:pPr>
      <w:numPr>
        <w:ilvl w:val="3"/>
        <w:numId w:val="1"/>
      </w:numPr>
      <w:spacing w:beforeLines="50" w:after="60" w:line="360" w:lineRule="auto"/>
      <w:outlineLvl w:val="3"/>
    </w:pPr>
    <w:rPr>
      <w:rFonts w:ascii="Times New Roman" w:hAnsi="Times New Roman"/>
      <w:b/>
      <w:sz w:val="24"/>
      <w:szCs w:val="20"/>
    </w:rPr>
  </w:style>
  <w:style w:type="paragraph" w:styleId="9">
    <w:name w:val="heading 5"/>
    <w:basedOn w:val="1"/>
    <w:next w:val="6"/>
    <w:link w:val="36"/>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10">
    <w:name w:val="heading 6"/>
    <w:basedOn w:val="1"/>
    <w:next w:val="6"/>
    <w:link w:val="38"/>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11">
    <w:name w:val="heading 7"/>
    <w:basedOn w:val="1"/>
    <w:next w:val="6"/>
    <w:link w:val="39"/>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2">
    <w:name w:val="heading 8"/>
    <w:basedOn w:val="1"/>
    <w:next w:val="6"/>
    <w:link w:val="40"/>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3">
    <w:name w:val="heading 9"/>
    <w:basedOn w:val="1"/>
    <w:next w:val="1"/>
    <w:link w:val="4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5">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9"/>
    <w:unhideWhenUsed/>
    <w:qFormat/>
    <w:uiPriority w:val="99"/>
    <w:pPr>
      <w:autoSpaceDE w:val="0"/>
      <w:autoSpaceDN w:val="0"/>
      <w:jc w:val="left"/>
    </w:pPr>
    <w:rPr>
      <w:rFonts w:ascii="宋体" w:hAnsi="宋体" w:cs="宋体"/>
      <w:kern w:val="0"/>
      <w:sz w:val="24"/>
    </w:rPr>
  </w:style>
  <w:style w:type="paragraph" w:styleId="3">
    <w:name w:val="List Bullet 5"/>
    <w:basedOn w:val="1"/>
    <w:unhideWhenUsed/>
    <w:qFormat/>
    <w:uiPriority w:val="99"/>
    <w:pPr>
      <w:numPr>
        <w:ilvl w:val="0"/>
        <w:numId w:val="2"/>
      </w:numPr>
    </w:pPr>
  </w:style>
  <w:style w:type="paragraph" w:styleId="6">
    <w:name w:val="Normal Indent"/>
    <w:basedOn w:val="1"/>
    <w:unhideWhenUsed/>
    <w:qFormat/>
    <w:uiPriority w:val="99"/>
    <w:pPr>
      <w:spacing w:before="400" w:after="200"/>
      <w:ind w:left="567" w:firstLine="420" w:firstLineChars="200"/>
    </w:pPr>
    <w:rPr>
      <w:rFonts w:ascii="Times New Roman" w:hAnsi="Times New Roman"/>
    </w:rPr>
  </w:style>
  <w:style w:type="paragraph" w:styleId="14">
    <w:name w:val="caption"/>
    <w:basedOn w:val="1"/>
    <w:next w:val="1"/>
    <w:qFormat/>
    <w:uiPriority w:val="0"/>
    <w:pPr>
      <w:spacing w:before="152" w:after="160"/>
      <w:ind w:left="567" w:hanging="567"/>
    </w:pPr>
    <w:rPr>
      <w:rFonts w:ascii="Arial" w:hAnsi="Arial" w:eastAsia="黑体" w:cs="Arial"/>
      <w:sz w:val="20"/>
      <w:szCs w:val="20"/>
    </w:rPr>
  </w:style>
  <w:style w:type="paragraph" w:styleId="15">
    <w:name w:val="Document Map"/>
    <w:basedOn w:val="1"/>
    <w:link w:val="54"/>
    <w:unhideWhenUsed/>
    <w:qFormat/>
    <w:uiPriority w:val="99"/>
    <w:rPr>
      <w:rFonts w:ascii="宋体"/>
      <w:sz w:val="18"/>
      <w:szCs w:val="18"/>
    </w:rPr>
  </w:style>
  <w:style w:type="paragraph" w:styleId="16">
    <w:name w:val="Body Text Indent"/>
    <w:basedOn w:val="1"/>
    <w:qFormat/>
    <w:uiPriority w:val="0"/>
    <w:pPr>
      <w:ind w:firstLine="480"/>
    </w:pPr>
    <w:rPr>
      <w:sz w:val="24"/>
    </w:rPr>
  </w:style>
  <w:style w:type="paragraph" w:styleId="17">
    <w:name w:val="toc 5"/>
    <w:basedOn w:val="1"/>
    <w:next w:val="1"/>
    <w:qFormat/>
    <w:uiPriority w:val="0"/>
    <w:pPr>
      <w:ind w:left="1680" w:leftChars="800"/>
    </w:pPr>
  </w:style>
  <w:style w:type="paragraph" w:styleId="18">
    <w:name w:val="Balloon Text"/>
    <w:basedOn w:val="1"/>
    <w:link w:val="55"/>
    <w:unhideWhenUsed/>
    <w:qFormat/>
    <w:uiPriority w:val="99"/>
    <w:rPr>
      <w:sz w:val="18"/>
      <w:szCs w:val="18"/>
    </w:rPr>
  </w:style>
  <w:style w:type="paragraph" w:styleId="19">
    <w:name w:val="footer"/>
    <w:basedOn w:val="1"/>
    <w:link w:val="48"/>
    <w:qFormat/>
    <w:uiPriority w:val="0"/>
    <w:pPr>
      <w:tabs>
        <w:tab w:val="center" w:pos="4153"/>
        <w:tab w:val="right" w:pos="8306"/>
      </w:tabs>
      <w:snapToGrid w:val="0"/>
      <w:jc w:val="left"/>
    </w:pPr>
    <w:rPr>
      <w:sz w:val="18"/>
      <w:szCs w:val="18"/>
    </w:rPr>
  </w:style>
  <w:style w:type="paragraph" w:styleId="20">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link w:val="43"/>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2">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3">
    <w:name w:val="Title"/>
    <w:basedOn w:val="1"/>
    <w:link w:val="42"/>
    <w:qFormat/>
    <w:uiPriority w:val="0"/>
    <w:pPr>
      <w:spacing w:before="240" w:after="60"/>
      <w:ind w:left="567" w:hanging="567"/>
      <w:jc w:val="center"/>
      <w:outlineLvl w:val="0"/>
    </w:pPr>
    <w:rPr>
      <w:rFonts w:ascii="Arial" w:hAnsi="Arial" w:cs="Arial"/>
      <w:b/>
      <w:bCs/>
      <w:sz w:val="32"/>
      <w:szCs w:val="32"/>
    </w:rPr>
  </w:style>
  <w:style w:type="character" w:styleId="26">
    <w:name w:val="Strong"/>
    <w:qFormat/>
    <w:uiPriority w:val="0"/>
    <w:rPr>
      <w:b/>
      <w:bCs/>
    </w:rPr>
  </w:style>
  <w:style w:type="character" w:styleId="27">
    <w:name w:val="page number"/>
    <w:qFormat/>
    <w:uiPriority w:val="0"/>
  </w:style>
  <w:style w:type="character" w:styleId="28">
    <w:name w:val="Emphasis"/>
    <w:qFormat/>
    <w:uiPriority w:val="0"/>
    <w:rPr>
      <w:i/>
      <w:iCs/>
    </w:rPr>
  </w:style>
  <w:style w:type="paragraph" w:customStyle="1" w:styleId="29">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1">
    <w:name w:val="标题 1 Char"/>
    <w:basedOn w:val="25"/>
    <w:link w:val="4"/>
    <w:qFormat/>
    <w:uiPriority w:val="0"/>
    <w:rPr>
      <w:b/>
      <w:kern w:val="44"/>
      <w:sz w:val="32"/>
    </w:rPr>
  </w:style>
  <w:style w:type="character" w:customStyle="1" w:styleId="32">
    <w:name w:val="标题 2 Char"/>
    <w:basedOn w:val="25"/>
    <w:link w:val="5"/>
    <w:qFormat/>
    <w:uiPriority w:val="0"/>
    <w:rPr>
      <w:b/>
      <w:kern w:val="2"/>
      <w:sz w:val="32"/>
    </w:rPr>
  </w:style>
  <w:style w:type="character" w:customStyle="1" w:styleId="33">
    <w:name w:val="标题 3 Char"/>
    <w:basedOn w:val="25"/>
    <w:link w:val="7"/>
    <w:qFormat/>
    <w:uiPriority w:val="0"/>
    <w:rPr>
      <w:rFonts w:ascii="宋体" w:hAnsi="宋体"/>
      <w:b/>
      <w:sz w:val="24"/>
    </w:rPr>
  </w:style>
  <w:style w:type="character" w:customStyle="1" w:styleId="34">
    <w:name w:val="标题 4 Char"/>
    <w:basedOn w:val="25"/>
    <w:link w:val="8"/>
    <w:qFormat/>
    <w:uiPriority w:val="0"/>
    <w:rPr>
      <w:b/>
      <w:kern w:val="2"/>
      <w:sz w:val="24"/>
    </w:rPr>
  </w:style>
  <w:style w:type="character" w:customStyle="1" w:styleId="35">
    <w:name w:val="标题 4 Char2"/>
    <w:qFormat/>
    <w:uiPriority w:val="0"/>
    <w:rPr>
      <w:rFonts w:eastAsia="宋体"/>
      <w:b/>
      <w:kern w:val="2"/>
      <w:sz w:val="24"/>
      <w:lang w:val="en-US" w:eastAsia="zh-CN" w:bidi="ar-SA"/>
    </w:rPr>
  </w:style>
  <w:style w:type="character" w:customStyle="1" w:styleId="36">
    <w:name w:val="标题 5 Char"/>
    <w:basedOn w:val="25"/>
    <w:link w:val="9"/>
    <w:qFormat/>
    <w:uiPriority w:val="0"/>
    <w:rPr>
      <w:b/>
      <w:kern w:val="2"/>
      <w:sz w:val="24"/>
    </w:rPr>
  </w:style>
  <w:style w:type="character" w:customStyle="1" w:styleId="37">
    <w:name w:val="标题 5 Char2"/>
    <w:qFormat/>
    <w:uiPriority w:val="0"/>
    <w:rPr>
      <w:rFonts w:eastAsia="宋体"/>
      <w:b/>
      <w:kern w:val="2"/>
      <w:sz w:val="24"/>
      <w:lang w:val="en-US" w:eastAsia="zh-CN" w:bidi="ar-SA"/>
    </w:rPr>
  </w:style>
  <w:style w:type="character" w:customStyle="1" w:styleId="38">
    <w:name w:val="标题 6 Char"/>
    <w:basedOn w:val="25"/>
    <w:link w:val="10"/>
    <w:qFormat/>
    <w:uiPriority w:val="0"/>
    <w:rPr>
      <w:rFonts w:ascii="宋体"/>
      <w:kern w:val="2"/>
      <w:sz w:val="24"/>
    </w:rPr>
  </w:style>
  <w:style w:type="character" w:customStyle="1" w:styleId="39">
    <w:name w:val="标题 7 Char"/>
    <w:basedOn w:val="25"/>
    <w:link w:val="11"/>
    <w:qFormat/>
    <w:uiPriority w:val="0"/>
    <w:rPr>
      <w:color w:val="008000"/>
      <w:kern w:val="2"/>
      <w:sz w:val="28"/>
    </w:rPr>
  </w:style>
  <w:style w:type="character" w:customStyle="1" w:styleId="40">
    <w:name w:val="标题 8 Char"/>
    <w:basedOn w:val="25"/>
    <w:link w:val="12"/>
    <w:qFormat/>
    <w:uiPriority w:val="0"/>
    <w:rPr>
      <w:color w:val="008000"/>
      <w:kern w:val="2"/>
      <w:sz w:val="28"/>
    </w:rPr>
  </w:style>
  <w:style w:type="character" w:customStyle="1" w:styleId="41">
    <w:name w:val="标题 9 Char"/>
    <w:basedOn w:val="25"/>
    <w:link w:val="13"/>
    <w:qFormat/>
    <w:uiPriority w:val="0"/>
    <w:rPr>
      <w:rFonts w:ascii="Arial" w:hAnsi="Arial" w:eastAsia="黑体"/>
      <w:sz w:val="24"/>
    </w:rPr>
  </w:style>
  <w:style w:type="character" w:customStyle="1" w:styleId="42">
    <w:name w:val="标题 Char"/>
    <w:basedOn w:val="25"/>
    <w:link w:val="23"/>
    <w:qFormat/>
    <w:uiPriority w:val="0"/>
    <w:rPr>
      <w:rFonts w:ascii="Arial" w:hAnsi="Arial" w:cs="Arial"/>
      <w:b/>
      <w:bCs/>
      <w:kern w:val="2"/>
      <w:sz w:val="32"/>
      <w:szCs w:val="32"/>
    </w:rPr>
  </w:style>
  <w:style w:type="character" w:customStyle="1" w:styleId="43">
    <w:name w:val="副标题 Char"/>
    <w:basedOn w:val="25"/>
    <w:link w:val="21"/>
    <w:qFormat/>
    <w:uiPriority w:val="0"/>
    <w:rPr>
      <w:rFonts w:ascii="Arial" w:hAnsi="Arial" w:cs="Arial"/>
      <w:b/>
      <w:bCs/>
      <w:kern w:val="28"/>
      <w:sz w:val="32"/>
      <w:szCs w:val="32"/>
    </w:rPr>
  </w:style>
  <w:style w:type="paragraph" w:customStyle="1" w:styleId="44">
    <w:name w:val="列表段落1"/>
    <w:basedOn w:val="1"/>
    <w:qFormat/>
    <w:uiPriority w:val="0"/>
    <w:pPr>
      <w:spacing w:before="400" w:after="200"/>
      <w:ind w:left="567" w:firstLine="420" w:firstLineChars="200"/>
    </w:pPr>
    <w:rPr>
      <w:rFonts w:ascii="Times New Roman" w:hAnsi="Times New Roman"/>
    </w:rPr>
  </w:style>
  <w:style w:type="paragraph" w:customStyle="1" w:styleId="45">
    <w:name w:val="君邦正文"/>
    <w:link w:val="46"/>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6">
    <w:name w:val="君邦正文 Char2"/>
    <w:link w:val="45"/>
    <w:qFormat/>
    <w:uiPriority w:val="0"/>
    <w:rPr>
      <w:bCs/>
      <w:snapToGrid w:val="0"/>
      <w:sz w:val="24"/>
    </w:rPr>
  </w:style>
  <w:style w:type="character" w:customStyle="1" w:styleId="47">
    <w:name w:val="页眉 Char"/>
    <w:basedOn w:val="25"/>
    <w:link w:val="20"/>
    <w:qFormat/>
    <w:uiPriority w:val="0"/>
    <w:rPr>
      <w:rFonts w:ascii="Calibri" w:hAnsi="Calibri"/>
      <w:kern w:val="2"/>
      <w:sz w:val="18"/>
      <w:szCs w:val="18"/>
    </w:rPr>
  </w:style>
  <w:style w:type="character" w:customStyle="1" w:styleId="48">
    <w:name w:val="页脚 Char"/>
    <w:basedOn w:val="25"/>
    <w:link w:val="19"/>
    <w:qFormat/>
    <w:uiPriority w:val="0"/>
    <w:rPr>
      <w:rFonts w:ascii="Calibri" w:hAnsi="Calibri"/>
      <w:kern w:val="2"/>
      <w:sz w:val="18"/>
      <w:szCs w:val="18"/>
    </w:rPr>
  </w:style>
  <w:style w:type="paragraph" w:customStyle="1" w:styleId="49">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0">
    <w:name w:val="表内字体"/>
    <w:basedOn w:val="1"/>
    <w:next w:val="45"/>
    <w:link w:val="51"/>
    <w:qFormat/>
    <w:uiPriority w:val="0"/>
    <w:pPr>
      <w:adjustRightInd w:val="0"/>
      <w:snapToGrid w:val="0"/>
      <w:jc w:val="center"/>
      <w:textAlignment w:val="baseline"/>
    </w:pPr>
    <w:rPr>
      <w:rFonts w:ascii="Times New Roman" w:hAnsi="Times New Roman"/>
      <w:kern w:val="0"/>
      <w:sz w:val="18"/>
      <w:szCs w:val="18"/>
    </w:rPr>
  </w:style>
  <w:style w:type="character" w:customStyle="1" w:styleId="51">
    <w:name w:val="表内字体 Char"/>
    <w:link w:val="50"/>
    <w:qFormat/>
    <w:locked/>
    <w:uiPriority w:val="0"/>
    <w:rPr>
      <w:sz w:val="18"/>
      <w:szCs w:val="18"/>
    </w:rPr>
  </w:style>
  <w:style w:type="character" w:customStyle="1" w:styleId="52">
    <w:name w:val="表内格式 Char1"/>
    <w:link w:val="53"/>
    <w:qFormat/>
    <w:locked/>
    <w:uiPriority w:val="0"/>
    <w:rPr>
      <w:kern w:val="2"/>
      <w:sz w:val="18"/>
    </w:rPr>
  </w:style>
  <w:style w:type="paragraph" w:customStyle="1" w:styleId="53">
    <w:name w:val="表内格式"/>
    <w:basedOn w:val="1"/>
    <w:link w:val="52"/>
    <w:qFormat/>
    <w:uiPriority w:val="0"/>
    <w:pPr>
      <w:jc w:val="center"/>
    </w:pPr>
    <w:rPr>
      <w:rFonts w:ascii="Times New Roman" w:hAnsi="Times New Roman"/>
      <w:sz w:val="18"/>
      <w:szCs w:val="20"/>
    </w:rPr>
  </w:style>
  <w:style w:type="character" w:customStyle="1" w:styleId="54">
    <w:name w:val="文档结构图 Char"/>
    <w:basedOn w:val="25"/>
    <w:link w:val="15"/>
    <w:semiHidden/>
    <w:qFormat/>
    <w:uiPriority w:val="99"/>
    <w:rPr>
      <w:rFonts w:ascii="宋体" w:hAnsi="Calibri"/>
      <w:kern w:val="2"/>
      <w:sz w:val="18"/>
      <w:szCs w:val="18"/>
    </w:rPr>
  </w:style>
  <w:style w:type="character" w:customStyle="1" w:styleId="55">
    <w:name w:val="批注框文本 Char"/>
    <w:basedOn w:val="25"/>
    <w:link w:val="18"/>
    <w:semiHidden/>
    <w:qFormat/>
    <w:uiPriority w:val="99"/>
    <w:rPr>
      <w:rFonts w:ascii="Calibri" w:hAnsi="Calibri"/>
      <w:kern w:val="2"/>
      <w:sz w:val="18"/>
      <w:szCs w:val="18"/>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58">
    <w:name w:val="正文2"/>
    <w:qFormat/>
    <w:uiPriority w:val="0"/>
    <w:pPr>
      <w:jc w:val="both"/>
    </w:pPr>
    <w:rPr>
      <w:rFonts w:ascii="Calibri" w:hAnsi="Calibri" w:eastAsia="宋体" w:cs="Calibri"/>
      <w:kern w:val="2"/>
      <w:sz w:val="21"/>
      <w:szCs w:val="21"/>
      <w:lang w:val="en-US" w:eastAsia="zh-CN" w:bidi="ar-SA"/>
    </w:rPr>
  </w:style>
  <w:style w:type="character" w:customStyle="1" w:styleId="59">
    <w:name w:val="正文文本 Char"/>
    <w:basedOn w:val="25"/>
    <w:link w:val="2"/>
    <w:qFormat/>
    <w:uiPriority w:val="99"/>
    <w:rPr>
      <w:rFonts w:ascii="宋体" w:hAnsi="宋体" w:cs="宋体"/>
      <w:sz w:val="24"/>
      <w:szCs w:val="24"/>
    </w:rPr>
  </w:style>
  <w:style w:type="paragraph" w:customStyle="1" w:styleId="60">
    <w:name w:val="Table Paragraph"/>
    <w:basedOn w:val="1"/>
    <w:qFormat/>
    <w:uiPriority w:val="0"/>
    <w:pPr>
      <w:autoSpaceDE w:val="0"/>
      <w:autoSpaceDN w:val="0"/>
      <w:jc w:val="center"/>
    </w:pPr>
    <w:rPr>
      <w:rFonts w:ascii="宋体" w:hAnsi="宋体" w:cs="宋体"/>
      <w:kern w:val="0"/>
      <w:sz w:val="22"/>
      <w:szCs w:val="22"/>
    </w:rPr>
  </w:style>
  <w:style w:type="paragraph" w:customStyle="1" w:styleId="61">
    <w:name w:val="1-正文"/>
    <w:basedOn w:val="1"/>
    <w:qFormat/>
    <w:uiPriority w:val="0"/>
    <w:pPr>
      <w:spacing w:after="60"/>
      <w:ind w:firstLine="200"/>
    </w:pPr>
  </w:style>
  <w:style w:type="paragraph" w:customStyle="1" w:styleId="62">
    <w:name w:val="正文小四"/>
    <w:basedOn w:val="1"/>
    <w:qFormat/>
    <w:uiPriority w:val="0"/>
    <w:pPr>
      <w:ind w:firstLine="200" w:firstLineChars="200"/>
    </w:pPr>
  </w:style>
  <w:style w:type="paragraph" w:customStyle="1" w:styleId="63">
    <w:name w:val="列出段落1"/>
    <w:basedOn w:val="1"/>
    <w:qFormat/>
    <w:uiPriority w:val="99"/>
    <w:pPr>
      <w:ind w:firstLine="420" w:firstLineChars="200"/>
    </w:pPr>
  </w:style>
  <w:style w:type="paragraph" w:customStyle="1" w:styleId="64">
    <w:name w:val="报告表正文"/>
    <w:basedOn w:val="1"/>
    <w:qFormat/>
    <w:uiPriority w:val="0"/>
    <w:pPr>
      <w:spacing w:line="480" w:lineRule="atLeast"/>
      <w:ind w:firstLine="960" w:firstLineChars="200"/>
    </w:pPr>
    <w:rPr>
      <w:rFonts w:hint="eastAsia"/>
      <w:sz w:val="24"/>
    </w:rPr>
  </w:style>
  <w:style w:type="paragraph" w:customStyle="1" w:styleId="65">
    <w:name w:val="正文样式"/>
    <w:basedOn w:val="1"/>
    <w:qFormat/>
    <w:uiPriority w:val="0"/>
    <w:pPr>
      <w:spacing w:line="360" w:lineRule="auto"/>
      <w:ind w:firstLine="480" w:firstLineChars="200"/>
    </w:pPr>
    <w:rPr>
      <w:rFonts w:ascii="Times New Roman" w:hAnsi="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1753</Words>
  <Characters>1831</Characters>
  <Lines>2</Lines>
  <Paragraphs>5</Paragraphs>
  <TotalTime>0</TotalTime>
  <ScaleCrop>false</ScaleCrop>
  <LinksUpToDate>false</LinksUpToDate>
  <CharactersWithSpaces>1838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松间明月</cp:lastModifiedBy>
  <dcterms:modified xsi:type="dcterms:W3CDTF">2022-04-14T07:53:13Z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B348355D12754BC9B41A0EF17C1DAAEF</vt:lpwstr>
  </property>
</Properties>
</file>