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0" w:firstLineChars="0"/>
        <w:jc w:val="center"/>
        <w:rPr>
          <w:b/>
          <w:sz w:val="36"/>
          <w:szCs w:val="36"/>
        </w:rPr>
      </w:pPr>
      <w:r>
        <w:rPr>
          <w:rFonts w:hint="eastAsia"/>
          <w:b/>
          <w:sz w:val="36"/>
          <w:szCs w:val="36"/>
        </w:rPr>
        <w:t>康明斯电力（中国）有限公司扩建测试建项目</w:t>
      </w:r>
    </w:p>
    <w:p>
      <w:pPr>
        <w:pStyle w:val="5"/>
        <w:ind w:firstLine="0" w:firstLineChars="0"/>
        <w:jc w:val="center"/>
        <w:rPr>
          <w:b/>
          <w:sz w:val="36"/>
          <w:szCs w:val="36"/>
        </w:rPr>
      </w:pPr>
      <w:r>
        <w:rPr>
          <w:b/>
          <w:sz w:val="36"/>
          <w:szCs w:val="36"/>
        </w:rPr>
        <w:t>竣工环境保护验收意见</w:t>
      </w:r>
    </w:p>
    <w:p>
      <w:pPr>
        <w:ind w:firstLine="480" w:firstLineChars="200"/>
      </w:pPr>
    </w:p>
    <w:p>
      <w:pPr>
        <w:ind w:firstLine="480" w:firstLineChars="200"/>
      </w:pPr>
      <w:r>
        <w:t>201</w:t>
      </w:r>
      <w:r>
        <w:rPr>
          <w:rFonts w:hint="eastAsia"/>
        </w:rPr>
        <w:t>9</w:t>
      </w:r>
      <w:r>
        <w:t>年</w:t>
      </w:r>
      <w:r>
        <w:rPr>
          <w:rFonts w:hint="eastAsia"/>
        </w:rPr>
        <w:t>11</w:t>
      </w:r>
      <w:r>
        <w:t>月</w:t>
      </w:r>
      <w:r>
        <w:rPr>
          <w:rFonts w:hint="eastAsia"/>
        </w:rPr>
        <w:t>28</w:t>
      </w:r>
      <w:r>
        <w:t>日，</w:t>
      </w:r>
      <w:r>
        <w:rPr>
          <w:rFonts w:hint="eastAsia"/>
        </w:rPr>
        <w:t>康明斯电力（中国）有限公司</w:t>
      </w:r>
      <w:r>
        <w:t>根据</w:t>
      </w:r>
      <w:r>
        <w:rPr>
          <w:rFonts w:hint="eastAsia"/>
        </w:rPr>
        <w:t>扩建测试</w:t>
      </w:r>
      <w:r>
        <w:rPr>
          <w:rFonts w:hint="eastAsia"/>
          <w:lang w:eastAsia="zh-CN"/>
        </w:rPr>
        <w:t>间</w:t>
      </w:r>
      <w:r>
        <w:rPr>
          <w:rFonts w:hint="eastAsia"/>
        </w:rPr>
        <w:t>项目</w:t>
      </w:r>
      <w:r>
        <w:t>竣工环境保护验收监测报告并对照《建设项目竣工环境保护验收暂行办法》，严格依照国家有关法律法规、建设项目竣工环境保护验收技术规范指南、本项目环境影响报告书和审批部门审批决定等要求对本项目进行验收，提出意见如下：</w:t>
      </w:r>
    </w:p>
    <w:p>
      <w:pPr>
        <w:pStyle w:val="3"/>
        <w:rPr>
          <w:color w:val="auto"/>
          <w:sz w:val="28"/>
          <w:szCs w:val="28"/>
        </w:rPr>
      </w:pPr>
      <w:r>
        <w:rPr>
          <w:color w:val="auto"/>
          <w:sz w:val="28"/>
          <w:szCs w:val="28"/>
        </w:rPr>
        <w:t>一、工程建设基本情况</w:t>
      </w:r>
    </w:p>
    <w:p>
      <w:pPr>
        <w:pStyle w:val="4"/>
        <w:adjustRightInd/>
        <w:snapToGrid/>
      </w:pPr>
      <w:r>
        <w:t>1、建设地点、规模、主要建设内容</w:t>
      </w:r>
    </w:p>
    <w:p>
      <w:pPr>
        <w:ind w:firstLine="480" w:firstLineChars="200"/>
        <w:jc w:val="both"/>
        <w:rPr>
          <w:kern w:val="0"/>
        </w:rPr>
      </w:pPr>
      <w:r>
        <w:t>本项目位于</w:t>
      </w:r>
      <w:r>
        <w:rPr>
          <w:rFonts w:hint="eastAsia"/>
        </w:rPr>
        <w:t>全力南路</w:t>
      </w:r>
      <w:r>
        <w:t>118</w:t>
      </w:r>
      <w:r>
        <w:rPr>
          <w:rFonts w:hint="eastAsia"/>
          <w:lang w:eastAsia="zh-CN"/>
        </w:rPr>
        <w:t>号</w:t>
      </w:r>
      <w:r>
        <w:rPr>
          <w:rFonts w:hint="eastAsia"/>
        </w:rPr>
        <w:t>现有厂区</w:t>
      </w:r>
      <w:r>
        <w:rPr>
          <w:rFonts w:hint="eastAsia"/>
          <w:lang w:eastAsia="zh-CN"/>
        </w:rPr>
        <w:t>。</w:t>
      </w:r>
      <w:r>
        <w:rPr>
          <w:rFonts w:hint="eastAsia"/>
        </w:rPr>
        <w:t>本项目利用生产车间包装区的空地新增一间测试间</w:t>
      </w:r>
      <w:r>
        <w:rPr>
          <w:rFonts w:hint="eastAsia"/>
          <w:lang w:eastAsia="zh-CN"/>
        </w:rPr>
        <w:t>（</w:t>
      </w:r>
      <w:r>
        <w:rPr>
          <w:rFonts w:hint="default"/>
        </w:rPr>
        <w:t>面积约105m</w:t>
      </w:r>
      <w:r>
        <w:rPr>
          <w:rFonts w:hint="default"/>
          <w:vertAlign w:val="superscript"/>
        </w:rPr>
        <w:t>2</w:t>
      </w:r>
      <w:r>
        <w:rPr>
          <w:rFonts w:hint="eastAsia"/>
          <w:lang w:eastAsia="zh-CN"/>
        </w:rPr>
        <w:t>）</w:t>
      </w:r>
      <w:r>
        <w:rPr>
          <w:rFonts w:hint="eastAsia"/>
        </w:rPr>
        <w:t>，以及配套的尾气处理措施，将原有三根排气筒合并为一根</w:t>
      </w:r>
      <w:r>
        <w:t>30m</w:t>
      </w:r>
      <w:r>
        <w:rPr>
          <w:rFonts w:hint="eastAsia"/>
        </w:rPr>
        <w:t>排气筒</w:t>
      </w:r>
      <w:r>
        <w:rPr>
          <w:rFonts w:hint="eastAsia"/>
          <w:lang w:eastAsia="zh-CN"/>
        </w:rPr>
        <w:t>，</w:t>
      </w:r>
      <w:r>
        <w:rPr>
          <w:rFonts w:hint="eastAsia"/>
        </w:rPr>
        <w:t>同时新增雨水收集回用系统</w:t>
      </w:r>
      <w:r>
        <w:rPr>
          <w:rFonts w:hint="eastAsia"/>
          <w:lang w:eastAsia="zh-CN"/>
        </w:rPr>
        <w:t>。</w:t>
      </w:r>
      <w:r>
        <w:rPr>
          <w:rFonts w:hint="eastAsia"/>
        </w:rPr>
        <w:t>建成后全厂测试能力不变，测试能力</w:t>
      </w:r>
      <w:r>
        <w:t>7000</w:t>
      </w:r>
      <w:r>
        <w:rPr>
          <w:rFonts w:hint="eastAsia"/>
        </w:rPr>
        <w:t>台</w:t>
      </w:r>
      <w:r>
        <w:t>/a</w:t>
      </w:r>
      <w:r>
        <w:rPr>
          <w:rFonts w:hint="eastAsia"/>
        </w:rPr>
        <w:t>。</w:t>
      </w:r>
    </w:p>
    <w:p>
      <w:pPr>
        <w:pStyle w:val="4"/>
        <w:numPr>
          <w:ilvl w:val="0"/>
          <w:numId w:val="2"/>
        </w:numPr>
        <w:adjustRightInd/>
        <w:snapToGrid/>
        <w:spacing w:before="0"/>
      </w:pPr>
      <w:r>
        <w:t>建设过程及环保审批情况</w:t>
      </w:r>
    </w:p>
    <w:p>
      <w:pPr>
        <w:ind w:firstLine="480" w:firstLineChars="200"/>
        <w:outlineLvl w:val="1"/>
      </w:pPr>
      <w:bookmarkStart w:id="0" w:name="_Hlk12133397"/>
      <w:r>
        <w:rPr>
          <w:rFonts w:hint="eastAsia"/>
          <w:color w:val="000000"/>
        </w:rPr>
        <w:t>康明斯电力（中国）有限公司于</w:t>
      </w:r>
      <w:r>
        <w:rPr>
          <w:color w:val="000000"/>
        </w:rPr>
        <w:t>2017</w:t>
      </w:r>
      <w:r>
        <w:rPr>
          <w:rFonts w:hint="eastAsia"/>
          <w:color w:val="000000"/>
        </w:rPr>
        <w:t>年</w:t>
      </w:r>
      <w:r>
        <w:rPr>
          <w:color w:val="000000"/>
        </w:rPr>
        <w:t>11</w:t>
      </w:r>
      <w:r>
        <w:rPr>
          <w:rFonts w:hint="eastAsia"/>
          <w:color w:val="000000"/>
        </w:rPr>
        <w:t>月委托</w:t>
      </w:r>
      <w:r>
        <w:rPr>
          <w:rFonts w:hint="eastAsia"/>
        </w:rPr>
        <w:t>武汉中地格林环保科技有限公司进行</w:t>
      </w:r>
      <w:r>
        <w:rPr>
          <w:rFonts w:hint="eastAsia"/>
          <w:color w:val="000000"/>
        </w:rPr>
        <w:t>康明斯电力（中国）有限公司扩建测试间项目环境影响评价工作，</w:t>
      </w:r>
      <w:r>
        <w:t>2018</w:t>
      </w:r>
      <w:r>
        <w:rPr>
          <w:rFonts w:hint="eastAsia"/>
        </w:rPr>
        <w:t>年</w:t>
      </w:r>
      <w:r>
        <w:t>7</w:t>
      </w:r>
      <w:r>
        <w:rPr>
          <w:rFonts w:hint="eastAsia"/>
        </w:rPr>
        <w:t>月</w:t>
      </w:r>
      <w:r>
        <w:t>11</w:t>
      </w:r>
      <w:r>
        <w:rPr>
          <w:rFonts w:hint="eastAsia"/>
        </w:rPr>
        <w:t>日武汉经济技术开发区（汉南区）保护局以武经开审批</w:t>
      </w:r>
      <w:r>
        <w:t>[2018]85</w:t>
      </w:r>
      <w:r>
        <w:rPr>
          <w:rFonts w:hint="eastAsia"/>
        </w:rPr>
        <w:t>号对该项目进行了批复。项目于</w:t>
      </w:r>
      <w:r>
        <w:t>2018</w:t>
      </w:r>
      <w:r>
        <w:rPr>
          <w:rFonts w:hint="eastAsia"/>
        </w:rPr>
        <w:t>年</w:t>
      </w:r>
      <w:r>
        <w:t>7</w:t>
      </w:r>
      <w:r>
        <w:rPr>
          <w:rFonts w:hint="eastAsia"/>
        </w:rPr>
        <w:t>月开工建设，</w:t>
      </w:r>
      <w:r>
        <w:t>2019</w:t>
      </w:r>
      <w:r>
        <w:rPr>
          <w:rFonts w:hint="eastAsia"/>
        </w:rPr>
        <w:t>年</w:t>
      </w:r>
      <w:r>
        <w:t>1</w:t>
      </w:r>
      <w:r>
        <w:rPr>
          <w:rFonts w:hint="eastAsia"/>
        </w:rPr>
        <w:t>月建设完成进入调试阶段。</w:t>
      </w:r>
    </w:p>
    <w:p>
      <w:pPr>
        <w:outlineLvl w:val="1"/>
        <w:rPr>
          <w:b/>
        </w:rPr>
      </w:pPr>
      <w:r>
        <w:rPr>
          <w:b/>
        </w:rPr>
        <w:t>3、投资情况</w:t>
      </w:r>
    </w:p>
    <w:bookmarkEnd w:id="0"/>
    <w:p>
      <w:pPr>
        <w:framePr w:hSpace="180" w:wrap="around" w:vAnchor="text" w:hAnchor="text" w:xAlign="center" w:y="1"/>
        <w:adjustRightInd w:val="0"/>
        <w:snapToGrid w:val="0"/>
        <w:ind w:firstLine="480" w:firstLineChars="200"/>
        <w:rPr>
          <w:b/>
          <w:bCs/>
        </w:rPr>
      </w:pPr>
      <w:r>
        <w:rPr>
          <w:rFonts w:hint="eastAsia"/>
        </w:rPr>
        <w:t>本项目实际总投资</w:t>
      </w:r>
      <w:r>
        <w:t>23</w:t>
      </w:r>
      <w:r>
        <w:rPr>
          <w:rFonts w:hint="eastAsia"/>
        </w:rPr>
        <w:t>40万元，其中环保总投资</w:t>
      </w:r>
      <w:r>
        <w:t>580</w:t>
      </w:r>
      <w:r>
        <w:rPr>
          <w:rFonts w:hint="eastAsia"/>
        </w:rPr>
        <w:t>万元，占总投资的24.8</w:t>
      </w:r>
      <w:r>
        <w:t>%</w:t>
      </w:r>
      <w:r>
        <w:rPr>
          <w:rFonts w:hint="eastAsia"/>
        </w:rPr>
        <w:t>。</w:t>
      </w:r>
    </w:p>
    <w:p>
      <w:pPr>
        <w:pStyle w:val="2"/>
        <w:jc w:val="both"/>
        <w:rPr>
          <w:b/>
        </w:rPr>
      </w:pPr>
      <w:r>
        <w:rPr>
          <w:rFonts w:hint="eastAsia"/>
          <w:b/>
        </w:rPr>
        <w:t>4、项目变更及验收范围</w:t>
      </w:r>
    </w:p>
    <w:p>
      <w:pPr>
        <w:pStyle w:val="2"/>
        <w:numPr>
          <w:ilvl w:val="0"/>
          <w:numId w:val="3"/>
        </w:numPr>
        <w:jc w:val="both"/>
      </w:pPr>
      <w:r>
        <w:rPr>
          <w:rFonts w:hint="eastAsia"/>
        </w:rPr>
        <w:t>排气筒高度由环评设计20米高增加至30米。</w:t>
      </w:r>
    </w:p>
    <w:p>
      <w:pPr>
        <w:pStyle w:val="2"/>
        <w:numPr>
          <w:ilvl w:val="0"/>
          <w:numId w:val="3"/>
        </w:numPr>
        <w:jc w:val="both"/>
      </w:pPr>
      <w:r>
        <w:rPr>
          <w:rFonts w:hint="eastAsia"/>
        </w:rPr>
        <w:t>环保投资金额由100万元增加至580万元。</w:t>
      </w:r>
    </w:p>
    <w:p>
      <w:pPr>
        <w:pStyle w:val="2"/>
        <w:numPr>
          <w:ilvl w:val="0"/>
          <w:numId w:val="3"/>
        </w:numPr>
        <w:jc w:val="both"/>
      </w:pPr>
      <w:bookmarkStart w:id="1" w:name="_Hlk25833255"/>
      <w:r>
        <w:rPr>
          <w:rFonts w:hint="eastAsia"/>
        </w:rPr>
        <w:t>根据武汉市环保局武环函</w:t>
      </w:r>
      <w:r>
        <w:t>[2018]196</w:t>
      </w:r>
      <w:r>
        <w:rPr>
          <w:rFonts w:hint="eastAsia"/>
        </w:rPr>
        <w:t>号文，项目生产废水排放标准由《污水综合排放标准》（GB8978-1996）一级标准变更为三级标准。</w:t>
      </w:r>
      <w:bookmarkEnd w:id="1"/>
    </w:p>
    <w:p>
      <w:pPr>
        <w:pStyle w:val="2"/>
        <w:ind w:firstLine="480" w:firstLineChars="200"/>
        <w:jc w:val="both"/>
      </w:pPr>
      <w:r>
        <w:rPr>
          <w:rFonts w:hint="eastAsia"/>
        </w:rPr>
        <w:t>与环评相比项目不存在重大变动，验收范围与环评一致。</w:t>
      </w:r>
    </w:p>
    <w:p>
      <w:pPr>
        <w:pStyle w:val="3"/>
        <w:rPr>
          <w:color w:val="auto"/>
          <w:kern w:val="2"/>
        </w:rPr>
      </w:pPr>
      <w:r>
        <w:rPr>
          <w:rFonts w:hint="eastAsia"/>
          <w:color w:val="auto"/>
          <w:kern w:val="2"/>
        </w:rPr>
        <w:t>二、环境保护设施</w:t>
      </w:r>
      <w:r>
        <w:rPr>
          <w:rFonts w:hint="eastAsia"/>
          <w:color w:val="auto"/>
          <w:kern w:val="2"/>
          <w:lang w:eastAsia="zh-CN"/>
        </w:rPr>
        <w:t>落实</w:t>
      </w:r>
      <w:r>
        <w:rPr>
          <w:rFonts w:hint="eastAsia"/>
          <w:color w:val="auto"/>
          <w:kern w:val="2"/>
        </w:rPr>
        <w:t>情况</w:t>
      </w:r>
    </w:p>
    <w:p>
      <w:pPr>
        <w:pStyle w:val="4"/>
        <w:adjustRightInd/>
        <w:snapToGrid/>
      </w:pPr>
      <w:r>
        <w:t>1、废水</w:t>
      </w:r>
    </w:p>
    <w:p>
      <w:pPr>
        <w:pStyle w:val="2"/>
        <w:ind w:firstLine="480" w:firstLineChars="200"/>
        <w:jc w:val="both"/>
      </w:pPr>
      <w:r>
        <w:rPr>
          <w:rFonts w:hint="eastAsia"/>
        </w:rPr>
        <w:t>项目废水</w:t>
      </w:r>
      <w:r>
        <w:rPr>
          <w:rFonts w:hint="eastAsia"/>
          <w:lang w:eastAsia="zh-CN"/>
        </w:rPr>
        <w:t>为原有</w:t>
      </w:r>
      <w:r>
        <w:rPr>
          <w:rFonts w:hint="eastAsia"/>
        </w:rPr>
        <w:t>员工办公生活污水和发电机清洗擦拭废水</w:t>
      </w:r>
      <w:r>
        <w:rPr>
          <w:rFonts w:hint="eastAsia"/>
          <w:lang w:eastAsia="zh-CN"/>
        </w:rPr>
        <w:t>（利用原有污水处理设施处理）</w:t>
      </w:r>
      <w:r>
        <w:rPr>
          <w:rFonts w:hint="eastAsia"/>
        </w:rPr>
        <w:t>。生活污水主要污染物为</w:t>
      </w:r>
      <w:r>
        <w:t>COD</w:t>
      </w:r>
      <w:r>
        <w:rPr>
          <w:rFonts w:hint="eastAsia"/>
        </w:rPr>
        <w:t>、</w:t>
      </w:r>
      <w:r>
        <w:t>SS</w:t>
      </w:r>
      <w:r>
        <w:rPr>
          <w:rFonts w:hint="eastAsia"/>
        </w:rPr>
        <w:t>、氨氮和</w:t>
      </w:r>
      <w:r>
        <w:t>BOD</w:t>
      </w:r>
      <w:r>
        <w:rPr>
          <w:vertAlign w:val="subscript"/>
        </w:rPr>
        <w:t>5</w:t>
      </w:r>
      <w:r>
        <w:rPr>
          <w:rFonts w:hint="eastAsia"/>
        </w:rPr>
        <w:t>，通过化粪池处理；清洗废水主要污染物为</w:t>
      </w:r>
      <w:r>
        <w:t>COD</w:t>
      </w:r>
      <w:r>
        <w:rPr>
          <w:rFonts w:hint="eastAsia"/>
        </w:rPr>
        <w:t>、</w:t>
      </w:r>
      <w:r>
        <w:t>SS</w:t>
      </w:r>
      <w:r>
        <w:rPr>
          <w:rFonts w:hint="eastAsia"/>
        </w:rPr>
        <w:t>、氨氮和</w:t>
      </w:r>
      <w:r>
        <w:t>BOD</w:t>
      </w:r>
      <w:r>
        <w:rPr>
          <w:vertAlign w:val="subscript"/>
        </w:rPr>
        <w:t>5</w:t>
      </w:r>
      <w:r>
        <w:rPr>
          <w:rFonts w:hint="eastAsia"/>
        </w:rPr>
        <w:t>和石油类，首先通过蒸发浓缩处理，蒸发废水经</w:t>
      </w:r>
      <w:r>
        <w:t>COD</w:t>
      </w:r>
      <w:r>
        <w:rPr>
          <w:rFonts w:hint="eastAsia"/>
        </w:rPr>
        <w:t>降解处理后与生活污水一起经市政管网进入新城污水处理厂，浓缩液作为危废处理。项目不新增人员故不新增废水排放。</w:t>
      </w:r>
    </w:p>
    <w:p>
      <w:pPr>
        <w:pStyle w:val="4"/>
        <w:adjustRightInd/>
        <w:snapToGrid/>
        <w:ind w:left="0" w:firstLine="0"/>
      </w:pPr>
      <w:r>
        <w:rPr>
          <w:rFonts w:hint="eastAsia"/>
        </w:rPr>
        <w:t>2、废气</w:t>
      </w:r>
    </w:p>
    <w:p>
      <w:pPr>
        <w:pStyle w:val="38"/>
        <w:adjustRightInd w:val="0"/>
        <w:snapToGrid w:val="0"/>
        <w:spacing w:after="0"/>
        <w:ind w:firstLine="480"/>
      </w:pPr>
      <w:r>
        <w:rPr>
          <w:rFonts w:hint="eastAsia"/>
        </w:rPr>
        <w:t>项目废气主要为有组织排放的柴油发电机组测试废气。主要污染物为二氧化硫、氮氧化物和颗粒物，新建一套“选择性催化还原法烟气脱硝技术（</w:t>
      </w:r>
      <w:r>
        <w:t>SCR</w:t>
      </w:r>
      <w:r>
        <w:rPr>
          <w:rFonts w:hint="eastAsia"/>
        </w:rPr>
        <w:t>）”废气处理系统用于处理新建测试间的废气，处理达标后经一根</w:t>
      </w:r>
      <w:r>
        <w:t>30</w:t>
      </w:r>
      <w:r>
        <w:rPr>
          <w:rFonts w:hint="eastAsia"/>
        </w:rPr>
        <w:t>米排气筒排放。项目新建测试间用于承担部分原有测试间的测试负荷，测试能力不变，不增加排污。</w:t>
      </w:r>
    </w:p>
    <w:p>
      <w:pPr>
        <w:pStyle w:val="4"/>
        <w:adjustRightInd/>
        <w:snapToGrid/>
        <w:ind w:left="0" w:firstLine="0"/>
      </w:pPr>
      <w:r>
        <w:rPr>
          <w:rFonts w:hint="eastAsia"/>
        </w:rPr>
        <w:t>3</w:t>
      </w:r>
      <w:r>
        <w:t>、噪声</w:t>
      </w:r>
    </w:p>
    <w:p>
      <w:pPr>
        <w:ind w:firstLine="480" w:firstLineChars="200"/>
      </w:pPr>
      <w:r>
        <w:rPr>
          <w:rFonts w:hint="eastAsia"/>
          <w:color w:val="000000"/>
        </w:rPr>
        <w:t>项目主要噪声源为测试设备和废气处理设施风机等，通过选用低噪设备，加装减震垫和厂房隔声减少噪声对周围环境的影响。</w:t>
      </w:r>
    </w:p>
    <w:p>
      <w:pPr>
        <w:pStyle w:val="4"/>
        <w:adjustRightInd/>
        <w:snapToGrid/>
      </w:pPr>
      <w:r>
        <w:rPr>
          <w:rFonts w:hint="eastAsia"/>
        </w:rPr>
        <w:t>4</w:t>
      </w:r>
      <w:r>
        <w:t>、固体废物</w:t>
      </w:r>
    </w:p>
    <w:p>
      <w:pPr>
        <w:pStyle w:val="38"/>
        <w:adjustRightInd w:val="0"/>
        <w:snapToGrid w:val="0"/>
        <w:spacing w:after="0"/>
        <w:ind w:left="480" w:leftChars="200" w:firstLine="0" w:firstLineChars="0"/>
      </w:pPr>
      <w:r>
        <w:rPr>
          <w:rFonts w:hint="eastAsia"/>
        </w:rPr>
        <w:t>项目固体废物分为员工办公生活垃圾、一般固废和危险废物三大类。</w:t>
      </w:r>
    </w:p>
    <w:p>
      <w:pPr>
        <w:pStyle w:val="38"/>
        <w:adjustRightInd w:val="0"/>
        <w:snapToGrid w:val="0"/>
        <w:spacing w:after="0"/>
        <w:ind w:firstLine="480"/>
      </w:pPr>
      <w:r>
        <w:rPr>
          <w:rFonts w:hint="eastAsia"/>
        </w:rPr>
        <w:t>生活垃圾在厂内设置垃圾桶收集，由环卫部门定时清运。</w:t>
      </w:r>
    </w:p>
    <w:p>
      <w:pPr>
        <w:pStyle w:val="38"/>
        <w:adjustRightInd w:val="0"/>
        <w:snapToGrid w:val="0"/>
        <w:spacing w:after="0"/>
        <w:ind w:firstLine="480"/>
      </w:pPr>
      <w:r>
        <w:rPr>
          <w:rFonts w:hint="eastAsia"/>
        </w:rPr>
        <w:t>一般工业固体废物主要为废包装材料，由物资公司回收利用。</w:t>
      </w:r>
    </w:p>
    <w:p>
      <w:pPr>
        <w:pStyle w:val="38"/>
        <w:spacing w:after="0"/>
        <w:ind w:firstLine="480"/>
      </w:pPr>
      <w:r>
        <w:rPr>
          <w:rFonts w:hint="eastAsia"/>
        </w:rPr>
        <w:t>危险废物主要包括新增测试间产生的废油（</w:t>
      </w:r>
      <w:r>
        <w:t>HW08</w:t>
      </w:r>
      <w:r>
        <w:rPr>
          <w:rFonts w:hint="eastAsia"/>
        </w:rPr>
        <w:t>）、浓缩废液（</w:t>
      </w:r>
      <w:r>
        <w:t>HW09</w:t>
      </w:r>
      <w:r>
        <w:rPr>
          <w:rFonts w:hint="eastAsia"/>
        </w:rPr>
        <w:t>）等。危险废物产生后暂存于厂区原有危废暂存间内，定期交由孝感宏太环保科技有限公司安全处置。由于项目不新增人员和测试能力全厂固废总体产生量不变。</w:t>
      </w:r>
    </w:p>
    <w:p>
      <w:pPr>
        <w:pStyle w:val="4"/>
        <w:adjustRightInd/>
        <w:snapToGrid/>
        <w:spacing w:before="0"/>
      </w:pPr>
      <w:r>
        <w:rPr>
          <w:rFonts w:hint="eastAsia"/>
        </w:rPr>
        <w:t>5</w:t>
      </w:r>
      <w:r>
        <w:t>、环境制度管理</w:t>
      </w:r>
    </w:p>
    <w:p>
      <w:pPr>
        <w:numPr>
          <w:ilvl w:val="0"/>
          <w:numId w:val="4"/>
        </w:numPr>
        <w:adjustRightInd w:val="0"/>
        <w:snapToGrid w:val="0"/>
        <w:ind w:firstLine="480" w:firstLineChars="200"/>
        <w:rPr>
          <w:bCs/>
          <w:kern w:val="0"/>
        </w:rPr>
      </w:pPr>
      <w:r>
        <w:rPr>
          <w:bCs/>
        </w:rPr>
        <w:t>项目安排有</w:t>
      </w:r>
      <w:r>
        <w:rPr>
          <w:rFonts w:hint="eastAsia"/>
          <w:bCs/>
        </w:rPr>
        <w:t>环保专职</w:t>
      </w:r>
      <w:r>
        <w:rPr>
          <w:bCs/>
        </w:rPr>
        <w:t>人员，环保责任制明确。定期对员工进行环境教育和环保技术培训，</w:t>
      </w:r>
      <w:r>
        <w:rPr>
          <w:bCs/>
          <w:kern w:val="0"/>
        </w:rPr>
        <w:t>满足环保管理的基本要求。</w:t>
      </w:r>
      <w:r>
        <w:rPr>
          <w:bCs/>
        </w:rPr>
        <w:t>项目建立了较为完善的环保档案管理制度，</w:t>
      </w:r>
      <w:r>
        <w:rPr>
          <w:rFonts w:hint="eastAsia"/>
          <w:bCs/>
        </w:rPr>
        <w:t>制定了详细的环境保护管理规章制度。</w:t>
      </w:r>
    </w:p>
    <w:p>
      <w:pPr>
        <w:adjustRightInd w:val="0"/>
        <w:snapToGrid w:val="0"/>
        <w:ind w:firstLine="480" w:firstLineChars="200"/>
        <w:rPr>
          <w:bCs/>
        </w:rPr>
      </w:pPr>
      <w:r>
        <w:rPr>
          <w:bCs/>
        </w:rPr>
        <w:t>（2）</w:t>
      </w:r>
      <w:r>
        <w:rPr>
          <w:rFonts w:hint="eastAsia"/>
          <w:bCs/>
        </w:rPr>
        <w:t>企业制定了相关环境检测方案，定期对厂内污染物进行监测，确保污染物长期稳定达标排放</w:t>
      </w:r>
    </w:p>
    <w:p>
      <w:pPr>
        <w:pStyle w:val="3"/>
        <w:spacing w:before="0"/>
        <w:rPr>
          <w:bCs/>
          <w:color w:val="auto"/>
          <w:sz w:val="28"/>
          <w:szCs w:val="28"/>
        </w:rPr>
      </w:pPr>
      <w:r>
        <w:rPr>
          <w:rFonts w:hint="eastAsia"/>
          <w:bCs/>
          <w:color w:val="auto"/>
          <w:sz w:val="28"/>
          <w:szCs w:val="28"/>
        </w:rPr>
        <w:t>四</w:t>
      </w:r>
      <w:r>
        <w:rPr>
          <w:bCs/>
          <w:color w:val="auto"/>
          <w:sz w:val="28"/>
          <w:szCs w:val="28"/>
        </w:rPr>
        <w:t>、</w:t>
      </w:r>
      <w:r>
        <w:rPr>
          <w:rFonts w:hint="eastAsia"/>
          <w:bCs/>
          <w:color w:val="auto"/>
          <w:sz w:val="28"/>
          <w:szCs w:val="28"/>
        </w:rPr>
        <w:t>主要污染物排放达标</w:t>
      </w:r>
      <w:r>
        <w:rPr>
          <w:rFonts w:hint="eastAsia"/>
          <w:bCs/>
          <w:color w:val="auto"/>
          <w:sz w:val="28"/>
          <w:szCs w:val="28"/>
          <w:lang w:eastAsia="zh-CN"/>
        </w:rPr>
        <w:t>情况</w:t>
      </w:r>
    </w:p>
    <w:p>
      <w:pPr>
        <w:pStyle w:val="4"/>
        <w:adjustRightInd/>
        <w:snapToGrid/>
      </w:pPr>
      <w:r>
        <w:t>1、废水</w:t>
      </w:r>
    </w:p>
    <w:p>
      <w:pPr>
        <w:pStyle w:val="2"/>
        <w:ind w:firstLine="480" w:firstLineChars="200"/>
        <w:jc w:val="both"/>
      </w:pPr>
      <w:r>
        <w:rPr>
          <w:rFonts w:hint="default"/>
          <w:szCs w:val="22"/>
        </w:rPr>
        <w:t>根据武汉市环保局武环函[2018]196号文，项目生产废水排放标准由《污水综合排放标准》（GB8978-1996）一级标准变更为三级标准。</w:t>
      </w:r>
      <w:r>
        <w:rPr>
          <w:rFonts w:hint="eastAsia"/>
          <w:szCs w:val="22"/>
        </w:rPr>
        <w:t>本次监测，生活污水排口</w:t>
      </w:r>
      <w:r>
        <w:rPr>
          <w:rFonts w:hint="eastAsia"/>
          <w:szCs w:val="22"/>
          <w:lang w:eastAsia="zh-CN"/>
        </w:rPr>
        <w:t>中主要污染物</w:t>
      </w:r>
      <w:r>
        <w:rPr>
          <w:rFonts w:hint="eastAsia"/>
          <w:szCs w:val="22"/>
        </w:rPr>
        <w:t>监测结果均符合《污水综合排放标准》（</w:t>
      </w:r>
      <w:r>
        <w:rPr>
          <w:szCs w:val="22"/>
        </w:rPr>
        <w:t>GB 8978-1996</w:t>
      </w:r>
      <w:r>
        <w:rPr>
          <w:rFonts w:hint="eastAsia"/>
          <w:szCs w:val="22"/>
        </w:rPr>
        <w:t>）表</w:t>
      </w:r>
      <w:r>
        <w:rPr>
          <w:szCs w:val="22"/>
        </w:rPr>
        <w:t>4</w:t>
      </w:r>
      <w:r>
        <w:rPr>
          <w:rFonts w:hint="eastAsia"/>
          <w:szCs w:val="22"/>
        </w:rPr>
        <w:t>三级标准限值要求。污水处理设施出口</w:t>
      </w:r>
      <w:r>
        <w:rPr>
          <w:rFonts w:hint="eastAsia"/>
          <w:szCs w:val="22"/>
          <w:lang w:eastAsia="zh-CN"/>
        </w:rPr>
        <w:t>主要污染物</w:t>
      </w:r>
      <w:r>
        <w:rPr>
          <w:rFonts w:hint="eastAsia"/>
          <w:szCs w:val="22"/>
        </w:rPr>
        <w:t>监测结果均符合《污水综合排放标准》（</w:t>
      </w:r>
      <w:r>
        <w:rPr>
          <w:szCs w:val="22"/>
        </w:rPr>
        <w:t>GB 8978-1996</w:t>
      </w:r>
      <w:r>
        <w:rPr>
          <w:rFonts w:hint="eastAsia"/>
          <w:szCs w:val="22"/>
        </w:rPr>
        <w:t>）表</w:t>
      </w:r>
      <w:r>
        <w:rPr>
          <w:szCs w:val="22"/>
        </w:rPr>
        <w:t>4</w:t>
      </w:r>
      <w:r>
        <w:rPr>
          <w:rFonts w:hint="eastAsia"/>
          <w:szCs w:val="22"/>
        </w:rPr>
        <w:t>三级标准限值要求.氨氮监测结果符合《污水排入城镇下水道水质标准》（</w:t>
      </w:r>
      <w:r>
        <w:rPr>
          <w:szCs w:val="22"/>
        </w:rPr>
        <w:t>GB/T 31962-2015</w:t>
      </w:r>
      <w:r>
        <w:rPr>
          <w:rFonts w:hint="eastAsia"/>
          <w:szCs w:val="22"/>
        </w:rPr>
        <w:t>）表</w:t>
      </w:r>
      <w:r>
        <w:rPr>
          <w:szCs w:val="22"/>
        </w:rPr>
        <w:t>1</w:t>
      </w:r>
      <w:r>
        <w:rPr>
          <w:rFonts w:hint="eastAsia"/>
          <w:szCs w:val="22"/>
        </w:rPr>
        <w:t>中</w:t>
      </w:r>
      <w:r>
        <w:rPr>
          <w:szCs w:val="22"/>
        </w:rPr>
        <w:t>B</w:t>
      </w:r>
      <w:r>
        <w:rPr>
          <w:rFonts w:hint="eastAsia"/>
          <w:szCs w:val="22"/>
        </w:rPr>
        <w:t>级标准限值。</w:t>
      </w:r>
    </w:p>
    <w:p>
      <w:pPr>
        <w:pStyle w:val="4"/>
        <w:adjustRightInd/>
        <w:snapToGrid/>
      </w:pPr>
      <w:r>
        <w:rPr>
          <w:rFonts w:hint="eastAsia"/>
        </w:rPr>
        <w:t>2</w:t>
      </w:r>
      <w:r>
        <w:t>、废气</w:t>
      </w:r>
    </w:p>
    <w:p>
      <w:pPr>
        <w:pStyle w:val="43"/>
        <w:adjustRightInd w:val="0"/>
        <w:snapToGrid w:val="0"/>
        <w:spacing w:line="360" w:lineRule="auto"/>
        <w:ind w:firstLine="480"/>
      </w:pPr>
      <w:r>
        <w:rPr>
          <w:rFonts w:hint="eastAsia"/>
          <w:bCs/>
        </w:rPr>
        <w:t>本次监测，</w:t>
      </w:r>
      <w:r>
        <w:rPr>
          <w:rFonts w:hint="eastAsia"/>
          <w:kern w:val="0"/>
        </w:rPr>
        <w:t>测试间废气排气筒中</w:t>
      </w:r>
      <w:r>
        <w:rPr>
          <w:rFonts w:hint="eastAsia"/>
          <w:kern w:val="0"/>
          <w:lang w:eastAsia="zh-CN"/>
        </w:rPr>
        <w:t>主要污染物</w:t>
      </w:r>
      <w:r>
        <w:rPr>
          <w:rFonts w:hint="eastAsia"/>
          <w:kern w:val="0"/>
        </w:rPr>
        <w:t>符合《大气污染物综合排放标准》（</w:t>
      </w:r>
      <w:r>
        <w:rPr>
          <w:kern w:val="0"/>
        </w:rPr>
        <w:t>GB 16297-1996</w:t>
      </w:r>
      <w:r>
        <w:rPr>
          <w:rFonts w:hint="eastAsia"/>
          <w:kern w:val="0"/>
        </w:rPr>
        <w:t>）</w:t>
      </w:r>
      <w:r>
        <w:rPr>
          <w:rFonts w:hint="eastAsia"/>
          <w:bCs/>
        </w:rPr>
        <w:t>表</w:t>
      </w:r>
      <w:r>
        <w:rPr>
          <w:bCs/>
        </w:rPr>
        <w:t>2</w:t>
      </w:r>
      <w:r>
        <w:rPr>
          <w:rFonts w:hint="eastAsia"/>
          <w:bCs/>
        </w:rPr>
        <w:t>最高允许排放浓度和最高允许排放速率二级限值要求</w:t>
      </w:r>
      <w:r>
        <w:rPr>
          <w:rFonts w:hint="eastAsia"/>
        </w:rPr>
        <w:t>。</w:t>
      </w:r>
    </w:p>
    <w:p>
      <w:pPr>
        <w:outlineLvl w:val="1"/>
        <w:rPr>
          <w:b/>
          <w:bCs/>
        </w:rPr>
      </w:pPr>
      <w:r>
        <w:rPr>
          <w:rFonts w:hint="eastAsia"/>
          <w:b/>
          <w:bCs/>
        </w:rPr>
        <w:t>3</w:t>
      </w:r>
      <w:r>
        <w:rPr>
          <w:b/>
          <w:bCs/>
        </w:rPr>
        <w:t>.、噪声</w:t>
      </w:r>
    </w:p>
    <w:p>
      <w:pPr>
        <w:adjustRightInd w:val="0"/>
        <w:snapToGrid w:val="0"/>
        <w:ind w:firstLine="480" w:firstLineChars="200"/>
      </w:pPr>
      <w:r>
        <w:rPr>
          <w:rFonts w:hint="eastAsia"/>
        </w:rPr>
        <w:t>本次监测，该项目厂界东、南、西、北侧噪声监测结果均符合《工业企业厂界环境噪声排放标准》（</w:t>
      </w:r>
      <w:r>
        <w:t>GB 12348-2008)3</w:t>
      </w:r>
      <w:r>
        <w:rPr>
          <w:rFonts w:hint="eastAsia"/>
        </w:rPr>
        <w:t>类标准限值要求。</w:t>
      </w:r>
    </w:p>
    <w:p>
      <w:pPr>
        <w:outlineLvl w:val="0"/>
        <w:rPr>
          <w:b/>
          <w:bCs/>
        </w:rPr>
      </w:pPr>
      <w:r>
        <w:rPr>
          <w:rFonts w:hint="eastAsia"/>
          <w:b/>
          <w:bCs/>
        </w:rPr>
        <w:t>五、进一步完善要求</w:t>
      </w:r>
    </w:p>
    <w:p>
      <w:pPr>
        <w:pStyle w:val="5"/>
        <w:ind w:firstLine="199" w:firstLineChars="83"/>
      </w:pPr>
      <w:r>
        <w:rPr>
          <w:rFonts w:hint="eastAsia"/>
        </w:rPr>
        <w:t>1．完善项目变更情况分析。</w:t>
      </w:r>
    </w:p>
    <w:p>
      <w:pPr>
        <w:pStyle w:val="5"/>
        <w:ind w:firstLine="199" w:firstLineChars="83"/>
      </w:pPr>
      <w:r>
        <w:rPr>
          <w:rFonts w:hint="eastAsia"/>
        </w:rPr>
        <w:t>2．依照国家有关危险废物环境管理的相关规定，</w:t>
      </w:r>
      <w:r>
        <w:rPr>
          <w:rFonts w:hint="eastAsia"/>
          <w:lang w:eastAsia="zh-CN"/>
        </w:rPr>
        <w:t>危废进行有序分类存放，并</w:t>
      </w:r>
      <w:r>
        <w:rPr>
          <w:rFonts w:hint="eastAsia"/>
        </w:rPr>
        <w:t>加强危废暂存间的管理。</w:t>
      </w:r>
    </w:p>
    <w:p>
      <w:pPr>
        <w:pStyle w:val="5"/>
        <w:ind w:firstLine="199" w:firstLineChars="83"/>
      </w:pPr>
      <w:r>
        <w:rPr>
          <w:rFonts w:hint="eastAsia"/>
        </w:rPr>
        <w:t>3．加强生产废水处理设施日常运行维护管理。</w:t>
      </w:r>
    </w:p>
    <w:p>
      <w:pPr>
        <w:pStyle w:val="5"/>
        <w:ind w:firstLine="199" w:firstLineChars="83"/>
        <w:rPr>
          <w:rFonts w:hint="eastAsia"/>
        </w:rPr>
      </w:pPr>
      <w:r>
        <w:rPr>
          <w:rFonts w:hint="eastAsia"/>
        </w:rPr>
        <w:t>4．明确表述生产废水</w:t>
      </w:r>
      <w:r>
        <w:rPr>
          <w:rFonts w:hint="eastAsia"/>
          <w:lang w:eastAsia="zh-CN"/>
        </w:rPr>
        <w:t>产生</w:t>
      </w:r>
      <w:r>
        <w:rPr>
          <w:rFonts w:hint="eastAsia"/>
        </w:rPr>
        <w:t>工艺及</w:t>
      </w:r>
      <w:r>
        <w:rPr>
          <w:rFonts w:hint="eastAsia"/>
          <w:lang w:eastAsia="zh-CN"/>
        </w:rPr>
        <w:t>废水</w:t>
      </w:r>
      <w:r>
        <w:rPr>
          <w:rFonts w:hint="eastAsia"/>
        </w:rPr>
        <w:t>处理工艺</w:t>
      </w:r>
      <w:r>
        <w:rPr>
          <w:rFonts w:hint="eastAsia"/>
          <w:lang w:eastAsia="zh-CN"/>
        </w:rPr>
        <w:t>流程</w:t>
      </w:r>
      <w:r>
        <w:rPr>
          <w:rFonts w:hint="eastAsia"/>
        </w:rPr>
        <w:t>。</w:t>
      </w:r>
    </w:p>
    <w:p>
      <w:pPr>
        <w:outlineLvl w:val="0"/>
        <w:rPr>
          <w:b/>
          <w:bCs/>
        </w:rPr>
      </w:pPr>
      <w:r>
        <w:rPr>
          <w:rFonts w:hint="eastAsia"/>
          <w:b/>
          <w:bCs/>
        </w:rPr>
        <w:t>六</w:t>
      </w:r>
      <w:r>
        <w:rPr>
          <w:b/>
          <w:bCs/>
        </w:rPr>
        <w:t>、验收结论</w:t>
      </w:r>
    </w:p>
    <w:p>
      <w:pPr>
        <w:widowControl/>
        <w:adjustRightInd w:val="0"/>
        <w:snapToGrid w:val="0"/>
        <w:ind w:firstLine="480" w:firstLineChars="200"/>
      </w:pPr>
      <w:r>
        <w:rPr>
          <w:rFonts w:hint="eastAsia"/>
        </w:rPr>
        <w:t>康明斯电力（中国）有限公司扩建测试间项目</w:t>
      </w:r>
      <w:r>
        <w:t>环境保护手续齐全，</w:t>
      </w:r>
      <w:r>
        <w:rPr>
          <w:rFonts w:hint="eastAsia"/>
        </w:rPr>
        <w:t>较好的</w:t>
      </w:r>
      <w:r>
        <w:t>落实了环评及批复中规定的各项环保措施，竣工验收监测</w:t>
      </w:r>
      <w:r>
        <w:rPr>
          <w:rFonts w:hint="eastAsia"/>
        </w:rPr>
        <w:t>条件</w:t>
      </w:r>
      <w:r>
        <w:t>符合《建设项目竣工环境保护验收管理办法》的相关规定，污染物实现了达标排放。</w:t>
      </w:r>
      <w:r>
        <w:rPr>
          <w:rFonts w:hint="eastAsia"/>
        </w:rPr>
        <w:t>建设单位按上述要求进一步完善后，项目</w:t>
      </w:r>
      <w:r>
        <w:rPr>
          <w:rFonts w:hint="eastAsia"/>
          <w:lang w:eastAsia="zh-CN"/>
        </w:rPr>
        <w:t>可以</w:t>
      </w:r>
      <w:r>
        <w:rPr>
          <w:rFonts w:hint="eastAsia"/>
        </w:rPr>
        <w:t>通过竣工环境保护验收，并按程序予以公示。</w:t>
      </w:r>
    </w:p>
    <w:p>
      <w:pPr>
        <w:pStyle w:val="3"/>
        <w:rPr>
          <w:color w:val="auto"/>
        </w:rPr>
      </w:pPr>
      <w:r>
        <w:rPr>
          <w:rFonts w:hint="eastAsia"/>
          <w:color w:val="auto"/>
        </w:rPr>
        <w:t>七</w:t>
      </w:r>
      <w:r>
        <w:rPr>
          <w:color w:val="auto"/>
        </w:rPr>
        <w:t>、验收人员信息</w:t>
      </w:r>
    </w:p>
    <w:p>
      <w:pPr>
        <w:pStyle w:val="5"/>
        <w:ind w:firstLine="480"/>
      </w:pPr>
      <w:r>
        <w:t>验收工作组成员名单及信息附后。</w:t>
      </w:r>
    </w:p>
    <w:p>
      <w:pPr>
        <w:pStyle w:val="5"/>
        <w:ind w:firstLine="480"/>
      </w:pPr>
    </w:p>
    <w:p>
      <w:pPr>
        <w:pStyle w:val="5"/>
        <w:ind w:firstLine="5662" w:firstLineChars="2350"/>
        <w:jc w:val="right"/>
        <w:rPr>
          <w:b/>
          <w:bCs/>
        </w:rPr>
      </w:pPr>
      <w:r>
        <w:rPr>
          <w:b/>
          <w:bCs/>
        </w:rPr>
        <w:t>验收工作组</w:t>
      </w:r>
    </w:p>
    <w:p>
      <w:pPr>
        <w:pStyle w:val="5"/>
        <w:ind w:firstLine="5662" w:firstLineChars="2350"/>
        <w:jc w:val="right"/>
        <w:rPr>
          <w:b/>
        </w:rPr>
        <w:sectPr>
          <w:pgSz w:w="11906" w:h="16838"/>
          <w:pgMar w:top="1440" w:right="1800" w:bottom="1440" w:left="1800" w:header="851" w:footer="992" w:gutter="0"/>
          <w:cols w:space="720" w:num="1"/>
          <w:docGrid w:type="lines" w:linePitch="312" w:charSpace="0"/>
        </w:sectPr>
      </w:pPr>
      <w:r>
        <w:rPr>
          <w:b/>
        </w:rPr>
        <w:t>201</w:t>
      </w:r>
      <w:r>
        <w:rPr>
          <w:rFonts w:hint="eastAsia"/>
          <w:b/>
        </w:rPr>
        <w:t>9</w:t>
      </w:r>
      <w:r>
        <w:rPr>
          <w:b/>
        </w:rPr>
        <w:t>年</w:t>
      </w:r>
      <w:r>
        <w:rPr>
          <w:rFonts w:hint="eastAsia"/>
          <w:b/>
        </w:rPr>
        <w:t>11</w:t>
      </w:r>
      <w:r>
        <w:rPr>
          <w:b/>
        </w:rPr>
        <w:t>月</w:t>
      </w:r>
      <w:r>
        <w:rPr>
          <w:rFonts w:hint="eastAsia"/>
          <w:b/>
        </w:rPr>
        <w:t>28</w:t>
      </w:r>
      <w:r>
        <w:rPr>
          <w:b/>
        </w:rPr>
        <w:t>日</w:t>
      </w:r>
    </w:p>
    <w:p>
      <w:pPr>
        <w:pStyle w:val="5"/>
        <w:ind w:firstLine="0" w:firstLineChars="0"/>
        <w:rPr>
          <w:b/>
        </w:rPr>
      </w:pPr>
      <w:r>
        <w:rPr>
          <w:b/>
        </w:rPr>
        <w:t>附件</w:t>
      </w:r>
    </w:p>
    <w:p>
      <w:pPr>
        <w:pStyle w:val="5"/>
        <w:ind w:firstLine="0" w:firstLineChars="0"/>
        <w:rPr>
          <w:rFonts w:hint="eastAsia" w:eastAsia="宋体"/>
          <w:b/>
          <w:lang w:eastAsia="zh-CN"/>
        </w:rPr>
      </w:pPr>
      <w:bookmarkStart w:id="2" w:name="_GoBack"/>
      <w:r>
        <w:rPr>
          <w:rFonts w:hint="eastAsia" w:eastAsia="宋体"/>
          <w:b/>
          <w:lang w:eastAsia="zh-CN"/>
        </w:rPr>
        <w:drawing>
          <wp:inline distT="0" distB="0" distL="114300" distR="114300">
            <wp:extent cx="5268595" cy="7454900"/>
            <wp:effectExtent l="0" t="0" r="8255" b="12700"/>
            <wp:docPr id="1" name="图片 1" descr="康明斯签到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康明斯签到表"/>
                    <pic:cNvPicPr>
                      <a:picLocks noChangeAspect="1"/>
                    </pic:cNvPicPr>
                  </pic:nvPicPr>
                  <pic:blipFill>
                    <a:blip r:embed="rId4"/>
                    <a:stretch>
                      <a:fillRect/>
                    </a:stretch>
                  </pic:blipFill>
                  <pic:spPr>
                    <a:xfrm>
                      <a:off x="0" y="0"/>
                      <a:ext cx="5268595" cy="7454900"/>
                    </a:xfrm>
                    <a:prstGeom prst="rect">
                      <a:avLst/>
                    </a:prstGeom>
                  </pic:spPr>
                </pic:pic>
              </a:graphicData>
            </a:graphic>
          </wp:inline>
        </w:drawing>
      </w:r>
      <w:bookmarkEnd w:id="2"/>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0AFF" w:usb1="00007843" w:usb2="00000001" w:usb3="00000000" w:csb0="400001BF" w:csb1="DFF7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singleLevel"/>
    <w:tmpl w:val="00000000"/>
    <w:lvl w:ilvl="0" w:tentative="0">
      <w:start w:val="2"/>
      <w:numFmt w:val="decimal"/>
      <w:suff w:val="nothing"/>
      <w:lvlText w:val="%1、"/>
      <w:lvlJc w:val="left"/>
    </w:lvl>
  </w:abstractNum>
  <w:abstractNum w:abstractNumId="1">
    <w:nsid w:val="00000001"/>
    <w:multiLevelType w:val="multilevel"/>
    <w:tmpl w:val="00000001"/>
    <w:lvl w:ilvl="0" w:tentative="0">
      <w:start w:val="1"/>
      <w:numFmt w:val="decimal"/>
      <w:pStyle w:val="6"/>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multilevel"/>
    <w:tmpl w:val="00000003"/>
    <w:lvl w:ilvl="0" w:tentative="0">
      <w:start w:val="1"/>
      <w:numFmt w:val="decimal"/>
      <w:lvlText w:val="%1、"/>
      <w:lvlJc w:val="left"/>
      <w:pPr>
        <w:ind w:left="840" w:hanging="360"/>
      </w:pPr>
      <w:rPr>
        <w:rFonts w:hint="default"/>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ocumentProtection w:enforcement="0"/>
  <w:defaultTabStop w:val="420"/>
  <w:drawingGridVerticalSpacing w:val="156"/>
  <w:displayHorizontalDrawingGridEvery w:val="0"/>
  <w:displayVerticalDrawingGridEvery w:val="2"/>
  <w:doNotShadeFormData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738331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pPr>
    <w:rPr>
      <w:rFonts w:ascii="Times New Roman" w:hAnsi="Times New Roman" w:eastAsia="宋体" w:cs="Times New Roman"/>
      <w:kern w:val="2"/>
      <w:sz w:val="24"/>
      <w:szCs w:val="24"/>
      <w:lang w:val="en-US" w:eastAsia="zh-CN" w:bidi="ar-SA"/>
    </w:rPr>
  </w:style>
  <w:style w:type="paragraph" w:styleId="3">
    <w:name w:val="heading 1"/>
    <w:basedOn w:val="4"/>
    <w:next w:val="1"/>
    <w:qFormat/>
    <w:uiPriority w:val="0"/>
    <w:pPr>
      <w:keepLines/>
      <w:widowControl/>
      <w:adjustRightInd/>
      <w:snapToGrid/>
      <w:ind w:left="0" w:firstLine="0"/>
      <w:outlineLvl w:val="0"/>
    </w:pPr>
    <w:rPr>
      <w:color w:val="000000"/>
      <w:kern w:val="0"/>
    </w:rPr>
  </w:style>
  <w:style w:type="paragraph" w:styleId="4">
    <w:name w:val="heading 2"/>
    <w:basedOn w:val="1"/>
    <w:next w:val="5"/>
    <w:qFormat/>
    <w:uiPriority w:val="0"/>
    <w:pPr>
      <w:keepNext/>
      <w:adjustRightInd w:val="0"/>
      <w:snapToGrid w:val="0"/>
      <w:spacing w:before="156" w:beforeLines="50"/>
      <w:ind w:left="420" w:hanging="420"/>
      <w:outlineLvl w:val="1"/>
    </w:pPr>
    <w:rPr>
      <w:b/>
    </w:rPr>
  </w:style>
  <w:style w:type="paragraph" w:styleId="6">
    <w:name w:val="heading 3"/>
    <w:basedOn w:val="1"/>
    <w:next w:val="5"/>
    <w:qFormat/>
    <w:uiPriority w:val="0"/>
    <w:pPr>
      <w:keepNext/>
      <w:keepLines/>
      <w:numPr>
        <w:ilvl w:val="0"/>
        <w:numId w:val="1"/>
      </w:numPr>
      <w:outlineLvl w:val="2"/>
    </w:pPr>
    <w:rPr>
      <w:b/>
      <w:bCs/>
      <w:szCs w:val="32"/>
    </w:rPr>
  </w:style>
  <w:style w:type="paragraph" w:styleId="7">
    <w:name w:val="heading 4"/>
    <w:basedOn w:val="1"/>
    <w:next w:val="5"/>
    <w:qFormat/>
    <w:uiPriority w:val="0"/>
    <w:pPr>
      <w:keepNext/>
      <w:keepLines/>
      <w:jc w:val="both"/>
      <w:outlineLvl w:val="3"/>
    </w:pPr>
    <w:rPr>
      <w:b/>
      <w:bCs/>
    </w:rPr>
  </w:style>
  <w:style w:type="paragraph" w:styleId="8">
    <w:name w:val="heading 5"/>
    <w:basedOn w:val="5"/>
    <w:next w:val="1"/>
    <w:qFormat/>
    <w:uiPriority w:val="0"/>
    <w:pPr>
      <w:outlineLvl w:val="4"/>
    </w:pPr>
  </w:style>
  <w:style w:type="character" w:default="1" w:styleId="29">
    <w:name w:val="Default Paragraph Font"/>
    <w:uiPriority w:val="1"/>
  </w:style>
  <w:style w:type="table" w:default="1" w:styleId="27">
    <w:name w:val="Normal Table"/>
    <w:qFormat/>
    <w:uiPriority w:val="99"/>
    <w:tblPr>
      <w:tblCellMar>
        <w:top w:w="0" w:type="dxa"/>
        <w:left w:w="108" w:type="dxa"/>
        <w:bottom w:w="0" w:type="dxa"/>
        <w:right w:w="108" w:type="dxa"/>
      </w:tblCellMar>
    </w:tblPr>
  </w:style>
  <w:style w:type="paragraph" w:styleId="2">
    <w:name w:val="Body Text"/>
    <w:basedOn w:val="1"/>
    <w:link w:val="48"/>
    <w:qFormat/>
    <w:uiPriority w:val="0"/>
    <w:pPr>
      <w:jc w:val="center"/>
    </w:pPr>
  </w:style>
  <w:style w:type="paragraph" w:customStyle="1" w:styleId="5">
    <w:name w:val="正文小四"/>
    <w:basedOn w:val="1"/>
    <w:qFormat/>
    <w:uiPriority w:val="0"/>
    <w:pPr>
      <w:ind w:firstLine="200" w:firstLineChars="200"/>
    </w:pPr>
  </w:style>
  <w:style w:type="paragraph" w:styleId="9">
    <w:name w:val="toc 7"/>
    <w:basedOn w:val="1"/>
    <w:next w:val="1"/>
    <w:qFormat/>
    <w:uiPriority w:val="0"/>
    <w:pPr>
      <w:ind w:left="1440"/>
    </w:pPr>
    <w:rPr>
      <w:sz w:val="18"/>
      <w:szCs w:val="18"/>
    </w:rPr>
  </w:style>
  <w:style w:type="paragraph" w:styleId="10">
    <w:name w:val="Normal Indent"/>
    <w:basedOn w:val="1"/>
    <w:qFormat/>
    <w:uiPriority w:val="0"/>
    <w:pPr>
      <w:ind w:firstLine="420"/>
    </w:pPr>
  </w:style>
  <w:style w:type="paragraph" w:styleId="11">
    <w:name w:val="Document Map"/>
    <w:basedOn w:val="1"/>
    <w:qFormat/>
    <w:uiPriority w:val="0"/>
    <w:pPr>
      <w:shd w:val="clear" w:color="auto" w:fill="000080"/>
    </w:pPr>
  </w:style>
  <w:style w:type="paragraph" w:styleId="12">
    <w:name w:val="annotation text"/>
    <w:basedOn w:val="1"/>
    <w:qFormat/>
    <w:uiPriority w:val="0"/>
  </w:style>
  <w:style w:type="paragraph" w:styleId="13">
    <w:name w:val="toc 5"/>
    <w:basedOn w:val="1"/>
    <w:next w:val="1"/>
    <w:qFormat/>
    <w:uiPriority w:val="0"/>
    <w:pPr>
      <w:ind w:left="960"/>
    </w:pPr>
    <w:rPr>
      <w:sz w:val="18"/>
      <w:szCs w:val="18"/>
    </w:rPr>
  </w:style>
  <w:style w:type="paragraph" w:styleId="14">
    <w:name w:val="toc 3"/>
    <w:basedOn w:val="1"/>
    <w:next w:val="1"/>
    <w:qFormat/>
    <w:uiPriority w:val="0"/>
    <w:pPr>
      <w:ind w:left="480"/>
    </w:pPr>
    <w:rPr>
      <w:i/>
      <w:iCs/>
      <w:sz w:val="20"/>
      <w:szCs w:val="20"/>
    </w:rPr>
  </w:style>
  <w:style w:type="paragraph" w:styleId="15">
    <w:name w:val="toc 8"/>
    <w:basedOn w:val="1"/>
    <w:next w:val="1"/>
    <w:qFormat/>
    <w:uiPriority w:val="0"/>
    <w:pPr>
      <w:ind w:left="1680"/>
    </w:pPr>
    <w:rPr>
      <w:sz w:val="18"/>
      <w:szCs w:val="18"/>
    </w:rPr>
  </w:style>
  <w:style w:type="paragraph" w:styleId="16">
    <w:name w:val="Balloon Text"/>
    <w:basedOn w:val="1"/>
    <w:qFormat/>
    <w:uiPriority w:val="0"/>
    <w:rPr>
      <w:sz w:val="18"/>
      <w:szCs w:val="18"/>
    </w:rPr>
  </w:style>
  <w:style w:type="paragraph" w:styleId="17">
    <w:name w:val="footer"/>
    <w:basedOn w:val="1"/>
    <w:link w:val="34"/>
    <w:qFormat/>
    <w:uiPriority w:val="0"/>
    <w:pPr>
      <w:tabs>
        <w:tab w:val="center" w:pos="4153"/>
        <w:tab w:val="right" w:pos="8306"/>
      </w:tabs>
      <w:snapToGrid w:val="0"/>
      <w:spacing w:line="240" w:lineRule="auto"/>
    </w:pPr>
    <w:rPr>
      <w:sz w:val="18"/>
      <w:szCs w:val="18"/>
    </w:rPr>
  </w:style>
  <w:style w:type="paragraph" w:styleId="18">
    <w:name w:val="header"/>
    <w:basedOn w:val="1"/>
    <w:link w:val="33"/>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19">
    <w:name w:val="toc 1"/>
    <w:basedOn w:val="1"/>
    <w:next w:val="1"/>
    <w:qFormat/>
    <w:uiPriority w:val="0"/>
    <w:pPr>
      <w:spacing w:before="50" w:beforeLines="50"/>
    </w:pPr>
    <w:rPr>
      <w:b/>
      <w:bCs/>
      <w:caps/>
      <w:szCs w:val="20"/>
    </w:rPr>
  </w:style>
  <w:style w:type="paragraph" w:styleId="20">
    <w:name w:val="toc 4"/>
    <w:basedOn w:val="1"/>
    <w:next w:val="1"/>
    <w:qFormat/>
    <w:uiPriority w:val="0"/>
    <w:pPr>
      <w:ind w:left="720"/>
    </w:pPr>
    <w:rPr>
      <w:sz w:val="18"/>
      <w:szCs w:val="18"/>
    </w:rPr>
  </w:style>
  <w:style w:type="paragraph" w:styleId="21">
    <w:name w:val="toc 6"/>
    <w:basedOn w:val="1"/>
    <w:next w:val="1"/>
    <w:qFormat/>
    <w:uiPriority w:val="0"/>
    <w:pPr>
      <w:ind w:left="1200"/>
    </w:pPr>
    <w:rPr>
      <w:sz w:val="18"/>
      <w:szCs w:val="18"/>
    </w:rPr>
  </w:style>
  <w:style w:type="paragraph" w:styleId="22">
    <w:name w:val="toc 2"/>
    <w:basedOn w:val="1"/>
    <w:next w:val="1"/>
    <w:qFormat/>
    <w:uiPriority w:val="0"/>
    <w:pPr>
      <w:spacing w:line="360" w:lineRule="exact"/>
      <w:ind w:left="238"/>
    </w:pPr>
    <w:rPr>
      <w:smallCaps/>
      <w:sz w:val="21"/>
      <w:szCs w:val="20"/>
    </w:rPr>
  </w:style>
  <w:style w:type="paragraph" w:styleId="23">
    <w:name w:val="toc 9"/>
    <w:basedOn w:val="1"/>
    <w:next w:val="1"/>
    <w:qFormat/>
    <w:uiPriority w:val="0"/>
    <w:pPr>
      <w:ind w:left="1920"/>
    </w:pPr>
    <w:rPr>
      <w:sz w:val="18"/>
      <w:szCs w:val="18"/>
    </w:rPr>
  </w:style>
  <w:style w:type="paragraph" w:styleId="24">
    <w:name w:val="Body Text 2"/>
    <w:basedOn w:val="1"/>
    <w:link w:val="46"/>
    <w:qFormat/>
    <w:uiPriority w:val="0"/>
    <w:pPr>
      <w:spacing w:after="120" w:line="480" w:lineRule="auto"/>
      <w:jc w:val="both"/>
    </w:pPr>
    <w:rPr>
      <w:sz w:val="21"/>
      <w:szCs w:val="20"/>
    </w:rPr>
  </w:style>
  <w:style w:type="paragraph" w:styleId="25">
    <w:name w:val="Normal (Web)"/>
    <w:basedOn w:val="1"/>
    <w:qFormat/>
    <w:uiPriority w:val="0"/>
  </w:style>
  <w:style w:type="paragraph" w:styleId="26">
    <w:name w:val="annotation subject"/>
    <w:basedOn w:val="12"/>
    <w:next w:val="12"/>
    <w:link w:val="31"/>
    <w:qFormat/>
    <w:uiPriority w:val="0"/>
    <w:rPr>
      <w:b/>
      <w:bCs/>
    </w:rPr>
  </w:style>
  <w:style w:type="table" w:styleId="28">
    <w:name w:val="Table Grid"/>
    <w:basedOn w:val="2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annotation reference"/>
    <w:qFormat/>
    <w:uiPriority w:val="0"/>
    <w:rPr>
      <w:rFonts w:ascii="Times New Roman" w:hAnsi="Times New Roman" w:eastAsia="宋体" w:cs="Times New Roman"/>
      <w:sz w:val="21"/>
      <w:szCs w:val="21"/>
    </w:rPr>
  </w:style>
  <w:style w:type="character" w:customStyle="1" w:styleId="31">
    <w:name w:val="Comment Subject Char"/>
    <w:link w:val="26"/>
    <w:qFormat/>
    <w:uiPriority w:val="0"/>
    <w:rPr>
      <w:rFonts w:ascii="Times New Roman" w:hAnsi="Times New Roman" w:eastAsia="宋体" w:cs="Times New Roman"/>
      <w:b/>
      <w:bCs/>
      <w:kern w:val="2"/>
      <w:sz w:val="24"/>
      <w:szCs w:val="24"/>
    </w:rPr>
  </w:style>
  <w:style w:type="character" w:customStyle="1" w:styleId="32">
    <w:name w:val="font51"/>
    <w:qFormat/>
    <w:uiPriority w:val="0"/>
    <w:rPr>
      <w:rFonts w:hint="default" w:ascii="Times New Roman" w:hAnsi="Times New Roman" w:eastAsia="宋体" w:cs="Times New Roman"/>
      <w:color w:val="000000"/>
      <w:sz w:val="21"/>
      <w:szCs w:val="21"/>
      <w:u w:val="none"/>
    </w:rPr>
  </w:style>
  <w:style w:type="character" w:customStyle="1" w:styleId="33">
    <w:name w:val="Header Char_b211ab14-da3d-4f2d-830a-92ed1f45c58b"/>
    <w:link w:val="18"/>
    <w:qFormat/>
    <w:uiPriority w:val="0"/>
    <w:rPr>
      <w:rFonts w:ascii="Times New Roman" w:hAnsi="Times New Roman" w:eastAsia="宋体" w:cs="Times New Roman"/>
      <w:kern w:val="2"/>
      <w:sz w:val="18"/>
      <w:szCs w:val="18"/>
    </w:rPr>
  </w:style>
  <w:style w:type="character" w:customStyle="1" w:styleId="34">
    <w:name w:val="Footer Char_dcbf5091-f409-4b4a-a565-b2c19bb1998e"/>
    <w:link w:val="17"/>
    <w:qFormat/>
    <w:uiPriority w:val="0"/>
    <w:rPr>
      <w:rFonts w:ascii="Times New Roman" w:hAnsi="Times New Roman" w:eastAsia="宋体" w:cs="Times New Roman"/>
      <w:kern w:val="2"/>
      <w:sz w:val="18"/>
      <w:szCs w:val="18"/>
    </w:rPr>
  </w:style>
  <w:style w:type="paragraph" w:customStyle="1" w:styleId="35">
    <w:name w:val="表格"/>
    <w:qFormat/>
    <w:uiPriority w:val="0"/>
    <w:pPr>
      <w:spacing w:line="360" w:lineRule="exact"/>
      <w:jc w:val="center"/>
    </w:pPr>
    <w:rPr>
      <w:rFonts w:ascii="Times New Roman" w:hAnsi="Times New Roman" w:eastAsia="宋体" w:cs="Times New Roman"/>
      <w:kern w:val="2"/>
      <w:sz w:val="21"/>
      <w:szCs w:val="21"/>
      <w:lang w:val="en-US" w:eastAsia="zh-CN" w:bidi="ar-SA"/>
    </w:rPr>
  </w:style>
  <w:style w:type="paragraph" w:customStyle="1" w:styleId="36">
    <w:name w:val="表格标题"/>
    <w:next w:val="35"/>
    <w:qFormat/>
    <w:uiPriority w:val="0"/>
    <w:pPr>
      <w:spacing w:line="360" w:lineRule="auto"/>
      <w:jc w:val="center"/>
    </w:pPr>
    <w:rPr>
      <w:rFonts w:ascii="Times New Roman" w:hAnsi="Times New Roman" w:eastAsia="宋体" w:cs="Times New Roman"/>
      <w:b/>
      <w:kern w:val="2"/>
      <w:sz w:val="24"/>
      <w:szCs w:val="24"/>
      <w:lang w:val="en-US" w:eastAsia="zh-CN" w:bidi="ar-SA"/>
    </w:rPr>
  </w:style>
  <w:style w:type="paragraph" w:customStyle="1" w:styleId="37">
    <w:name w:val="列出段落1"/>
    <w:basedOn w:val="1"/>
    <w:qFormat/>
    <w:uiPriority w:val="0"/>
    <w:pPr>
      <w:spacing w:line="240" w:lineRule="auto"/>
      <w:ind w:firstLine="420"/>
    </w:pPr>
    <w:rPr>
      <w:sz w:val="21"/>
      <w:szCs w:val="20"/>
    </w:rPr>
  </w:style>
  <w:style w:type="paragraph" w:customStyle="1" w:styleId="38">
    <w:name w:val="君邦正文"/>
    <w:basedOn w:val="1"/>
    <w:link w:val="47"/>
    <w:qFormat/>
    <w:uiPriority w:val="0"/>
    <w:pPr>
      <w:spacing w:after="60"/>
      <w:ind w:firstLine="200" w:firstLineChars="200"/>
    </w:pPr>
  </w:style>
  <w:style w:type="paragraph" w:customStyle="1" w:styleId="39">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标题4"/>
    <w:next w:val="5"/>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41">
    <w:name w:val="报告书正文"/>
    <w:basedOn w:val="1"/>
    <w:qFormat/>
    <w:uiPriority w:val="0"/>
    <w:pPr>
      <w:widowControl/>
      <w:ind w:firstLine="480" w:firstLineChars="200"/>
      <w:jc w:val="both"/>
    </w:pPr>
  </w:style>
  <w:style w:type="paragraph" w:customStyle="1" w:styleId="42">
    <w:name w:val="1-正文"/>
    <w:basedOn w:val="1"/>
    <w:qFormat/>
    <w:uiPriority w:val="0"/>
    <w:pPr>
      <w:spacing w:after="60"/>
      <w:ind w:firstLine="200"/>
    </w:pPr>
    <w:rPr>
      <w:rFonts w:ascii="Calibri" w:hAnsi="Calibri"/>
    </w:rPr>
  </w:style>
  <w:style w:type="paragraph" w:customStyle="1" w:styleId="43">
    <w:name w:val="报告表正文"/>
    <w:basedOn w:val="1"/>
    <w:qFormat/>
    <w:uiPriority w:val="0"/>
    <w:pPr>
      <w:spacing w:line="480" w:lineRule="atLeast"/>
      <w:ind w:firstLine="960"/>
    </w:pPr>
  </w:style>
  <w:style w:type="table" w:customStyle="1" w:styleId="44">
    <w:name w:val="网格型1"/>
    <w:basedOn w:val="27"/>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5">
    <w:name w:val="Table Paragraph"/>
    <w:basedOn w:val="1"/>
    <w:qFormat/>
    <w:uiPriority w:val="1"/>
    <w:pPr>
      <w:spacing w:line="240" w:lineRule="auto"/>
      <w:jc w:val="center"/>
    </w:pPr>
    <w:rPr>
      <w:rFonts w:ascii="宋体" w:hAnsi="宋体" w:cs="宋体"/>
      <w:sz w:val="21"/>
      <w:szCs w:val="20"/>
      <w:lang w:val="zh-CN" w:bidi="zh-CN"/>
    </w:rPr>
  </w:style>
  <w:style w:type="character" w:customStyle="1" w:styleId="46">
    <w:name w:val="Body Text 2 Char"/>
    <w:link w:val="24"/>
    <w:qFormat/>
    <w:uiPriority w:val="0"/>
    <w:rPr>
      <w:rFonts w:ascii="Times New Roman" w:hAnsi="Times New Roman" w:eastAsia="宋体" w:cs="Times New Roman"/>
      <w:kern w:val="2"/>
      <w:sz w:val="21"/>
    </w:rPr>
  </w:style>
  <w:style w:type="character" w:customStyle="1" w:styleId="47">
    <w:name w:val="君邦正文 Char2"/>
    <w:link w:val="38"/>
    <w:qFormat/>
    <w:uiPriority w:val="0"/>
    <w:rPr>
      <w:kern w:val="2"/>
      <w:sz w:val="24"/>
      <w:szCs w:val="24"/>
    </w:rPr>
  </w:style>
  <w:style w:type="character" w:customStyle="1" w:styleId="48">
    <w:name w:val="Body Text Char"/>
    <w:basedOn w:val="29"/>
    <w:link w:val="2"/>
    <w:uiPriority w:val="0"/>
    <w:rPr>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8B53FA-9622-4FC0-8135-C845C602C315}">
  <ds:schemaRefs/>
</ds:datastoreItem>
</file>

<file path=docProps/app.xml><?xml version="1.0" encoding="utf-8"?>
<Properties xmlns="http://schemas.openxmlformats.org/officeDocument/2006/extended-properties" xmlns:vt="http://schemas.openxmlformats.org/officeDocument/2006/docPropsVTypes">
  <Template>Normal</Template>
  <Company>whict</Company>
  <Pages>5</Pages>
  <Words>1918</Words>
  <Characters>2088</Characters>
  <Paragraphs>52</Paragraphs>
  <TotalTime>87</TotalTime>
  <ScaleCrop>false</ScaleCrop>
  <LinksUpToDate>false</LinksUpToDate>
  <CharactersWithSpaces>2093</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2019-11-28T01:52:00Z</dcterms:created>
  <dc:creator>pc</dc:creator>
  <cp:lastModifiedBy>恋恋</cp:lastModifiedBy>
  <dcterms:modified xsi:type="dcterms:W3CDTF">2019-12-13T06:17:39Z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