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562" w:firstLineChars="20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富诚汽车零部件武汉有限公司</w:t>
      </w:r>
    </w:p>
    <w:p>
      <w:pPr>
        <w:spacing w:line="42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lang w:eastAsia="zh-CN"/>
        </w:rPr>
        <w:t>富诚汽车零部件注塑件扩建项目</w:t>
      </w:r>
      <w:r>
        <w:rPr>
          <w:rFonts w:hint="eastAsia" w:ascii="仿宋" w:hAnsi="仿宋" w:eastAsia="仿宋" w:cs="仿宋"/>
          <w:b/>
          <w:bCs/>
          <w:sz w:val="28"/>
          <w:szCs w:val="28"/>
        </w:rPr>
        <w:t>竣工环保验收意见</w:t>
      </w:r>
    </w:p>
    <w:p>
      <w:pPr>
        <w:spacing w:line="420" w:lineRule="exact"/>
        <w:ind w:firstLine="482" w:firstLineChars="200"/>
        <w:jc w:val="left"/>
        <w:rPr>
          <w:rFonts w:ascii="仿宋" w:hAnsi="仿宋" w:eastAsia="仿宋"/>
          <w:b/>
          <w:sz w:val="24"/>
        </w:rPr>
      </w:pPr>
      <w:r>
        <w:rPr>
          <w:rFonts w:hint="eastAsia" w:ascii="仿宋" w:hAnsi="仿宋" w:eastAsia="仿宋"/>
          <w:b/>
          <w:sz w:val="24"/>
        </w:rPr>
        <w:t>2</w:t>
      </w:r>
      <w:r>
        <w:rPr>
          <w:rFonts w:ascii="仿宋" w:hAnsi="仿宋" w:eastAsia="仿宋"/>
          <w:b/>
          <w:sz w:val="24"/>
        </w:rPr>
        <w:t>02</w:t>
      </w:r>
      <w:r>
        <w:rPr>
          <w:rFonts w:hint="eastAsia" w:ascii="仿宋" w:hAnsi="仿宋" w:eastAsia="仿宋"/>
          <w:b/>
          <w:sz w:val="24"/>
          <w:lang w:val="en-US" w:eastAsia="zh-CN"/>
        </w:rPr>
        <w:t>4</w:t>
      </w:r>
      <w:r>
        <w:rPr>
          <w:rFonts w:ascii="仿宋" w:hAnsi="仿宋" w:eastAsia="仿宋"/>
          <w:b/>
          <w:sz w:val="24"/>
        </w:rPr>
        <w:t>年</w:t>
      </w:r>
      <w:r>
        <w:rPr>
          <w:rFonts w:hint="eastAsia" w:ascii="仿宋" w:hAnsi="仿宋" w:eastAsia="仿宋"/>
          <w:b/>
          <w:sz w:val="24"/>
          <w:lang w:val="en-US" w:eastAsia="zh-CN"/>
        </w:rPr>
        <w:t>1</w:t>
      </w:r>
      <w:r>
        <w:rPr>
          <w:rFonts w:hint="eastAsia" w:ascii="仿宋" w:hAnsi="仿宋" w:eastAsia="仿宋"/>
          <w:b/>
          <w:sz w:val="24"/>
          <w:lang w:eastAsia="zh-CN"/>
        </w:rPr>
        <w:t>月</w:t>
      </w:r>
      <w:r>
        <w:rPr>
          <w:rFonts w:hint="eastAsia" w:ascii="仿宋" w:hAnsi="仿宋" w:eastAsia="仿宋"/>
          <w:b/>
          <w:sz w:val="24"/>
          <w:lang w:val="en-US" w:eastAsia="zh-CN"/>
        </w:rPr>
        <w:t>4</w:t>
      </w:r>
      <w:r>
        <w:rPr>
          <w:rFonts w:hint="eastAsia" w:ascii="仿宋" w:hAnsi="仿宋" w:eastAsia="仿宋"/>
          <w:b/>
          <w:sz w:val="24"/>
          <w:lang w:eastAsia="zh-CN"/>
        </w:rPr>
        <w:t>日，富诚汽车零部件武汉有限公司根据《富诚汽车零部件武汉有限公司富诚汽车零部件注塑件扩建项目</w:t>
      </w:r>
      <w:r>
        <w:rPr>
          <w:rFonts w:hint="eastAsia" w:ascii="仿宋" w:hAnsi="仿宋" w:eastAsia="仿宋"/>
          <w:b/>
          <w:sz w:val="24"/>
        </w:rPr>
        <w:t>竣工环境保护验收监测报告表》</w:t>
      </w:r>
      <w:r>
        <w:rPr>
          <w:rFonts w:ascii="仿宋" w:hAnsi="仿宋" w:eastAsia="仿宋"/>
          <w:b/>
          <w:sz w:val="24"/>
        </w:rPr>
        <w:t>，</w:t>
      </w:r>
      <w:r>
        <w:rPr>
          <w:rFonts w:hint="eastAsia" w:ascii="仿宋" w:hAnsi="仿宋" w:eastAsia="仿宋" w:cs="仿宋"/>
          <w:b/>
          <w:bCs/>
          <w:sz w:val="24"/>
        </w:rPr>
        <w:t>对照</w:t>
      </w:r>
      <w:r>
        <w:rPr>
          <w:rFonts w:hint="eastAsia" w:ascii="仿宋" w:hAnsi="仿宋" w:eastAsia="仿宋" w:cs="仿宋"/>
          <w:b/>
          <w:bCs/>
          <w:sz w:val="24"/>
          <w:lang w:val="zh-CN"/>
        </w:rPr>
        <w:t>《建设项目环境保护管理条例》、</w:t>
      </w:r>
      <w:r>
        <w:rPr>
          <w:rFonts w:hint="eastAsia" w:ascii="仿宋" w:hAnsi="仿宋" w:eastAsia="仿宋" w:cs="仿宋"/>
          <w:b/>
          <w:bCs/>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eastAsia" w:ascii="仿宋" w:hAnsi="仿宋" w:eastAsia="仿宋" w:cs="仿宋"/>
          <w:b/>
          <w:bCs/>
          <w:kern w:val="0"/>
          <w:sz w:val="24"/>
        </w:rPr>
        <w:t>。</w:t>
      </w:r>
    </w:p>
    <w:p>
      <w:pPr>
        <w:spacing w:line="312" w:lineRule="auto"/>
        <w:ind w:firstLine="482" w:firstLineChars="200"/>
        <w:rPr>
          <w:rFonts w:ascii="仿宋" w:hAnsi="仿宋" w:eastAsia="仿宋" w:cs="仿宋"/>
          <w:sz w:val="24"/>
        </w:rPr>
      </w:pPr>
      <w:r>
        <w:rPr>
          <w:rFonts w:hint="eastAsia" w:ascii="仿宋" w:hAnsi="仿宋" w:eastAsia="仿宋" w:cs="仿宋"/>
          <w:b/>
          <w:bCs/>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p>
    <w:p>
      <w:pPr>
        <w:spacing w:line="440" w:lineRule="exact"/>
        <w:ind w:firstLine="482" w:firstLineChars="200"/>
        <w:jc w:val="left"/>
        <w:rPr>
          <w:rFonts w:ascii="仿宋" w:hAnsi="仿宋" w:eastAsia="仿宋"/>
          <w:b/>
          <w:sz w:val="24"/>
        </w:rPr>
      </w:pPr>
      <w:r>
        <w:rPr>
          <w:rFonts w:ascii="仿宋" w:hAnsi="仿宋" w:eastAsia="仿宋"/>
          <w:b/>
          <w:sz w:val="24"/>
        </w:rPr>
        <w:t>一、工程建设基本情况</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1、建设地点、规模、主要建设内容</w:t>
      </w:r>
    </w:p>
    <w:p>
      <w:pPr>
        <w:widowControl/>
        <w:spacing w:line="440" w:lineRule="exact"/>
        <w:ind w:firstLine="482" w:firstLineChars="200"/>
        <w:jc w:val="left"/>
        <w:rPr>
          <w:rFonts w:hint="eastAsia" w:ascii="仿宋" w:hAnsi="仿宋" w:eastAsia="仿宋" w:cs="宋体"/>
          <w:b/>
          <w:kern w:val="0"/>
          <w:sz w:val="24"/>
          <w:lang w:eastAsia="zh-CN"/>
        </w:rPr>
      </w:pPr>
      <w:r>
        <w:rPr>
          <w:rFonts w:hint="eastAsia" w:ascii="仿宋" w:hAnsi="仿宋" w:eastAsia="仿宋" w:cs="宋体"/>
          <w:b/>
          <w:kern w:val="0"/>
          <w:sz w:val="24"/>
        </w:rPr>
        <w:t>项目位于位于湖北省武汉市汉南区纱帽街兴城大道501号，在原有厂区生产车间内扩建富诚汽车零部件注塑件扩建项目，并购置注塑机、龙门框架式液压机、干燥机、丝印机、移印机、焊接机、粉碎机等设备100余台，同时依托原有厂区仓库、办公生活设施、公用工程等设施，新增年产汽车零部件2555万件，扩建完成后年生产汽车零部件3200万件。</w:t>
      </w:r>
      <w:r>
        <w:rPr>
          <w:rFonts w:hint="eastAsia" w:ascii="仿宋" w:hAnsi="仿宋" w:eastAsia="仿宋" w:cs="宋体"/>
          <w:b/>
          <w:kern w:val="0"/>
          <w:sz w:val="24"/>
          <w:lang w:eastAsia="zh-CN"/>
        </w:rPr>
        <w:t>目前主体工程及环保设施均建成投入运行。</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2、建设过程及环保审批情况</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lang w:eastAsia="zh-CN"/>
        </w:rPr>
        <w:t>富诚汽车零部件武汉有限公司</w:t>
      </w:r>
      <w:r>
        <w:rPr>
          <w:rFonts w:hint="eastAsia" w:ascii="仿宋" w:hAnsi="仿宋" w:eastAsia="仿宋" w:cs="宋体"/>
          <w:b/>
          <w:kern w:val="0"/>
          <w:sz w:val="24"/>
        </w:rPr>
        <w:t>于</w:t>
      </w:r>
      <w:r>
        <w:rPr>
          <w:rFonts w:hint="eastAsia" w:ascii="仿宋" w:hAnsi="仿宋" w:eastAsia="仿宋" w:cs="宋体"/>
          <w:b/>
          <w:kern w:val="0"/>
          <w:sz w:val="24"/>
          <w:lang w:val="en-US" w:eastAsia="zh-CN"/>
        </w:rPr>
        <w:t>2022年11月</w:t>
      </w:r>
      <w:r>
        <w:rPr>
          <w:rFonts w:hint="eastAsia" w:ascii="仿宋" w:hAnsi="仿宋" w:eastAsia="仿宋" w:cs="宋体"/>
          <w:b/>
          <w:kern w:val="0"/>
          <w:sz w:val="24"/>
        </w:rPr>
        <w:t>委托</w:t>
      </w:r>
      <w:r>
        <w:rPr>
          <w:rFonts w:hint="eastAsia" w:ascii="仿宋" w:hAnsi="仿宋" w:eastAsia="仿宋" w:cs="宋体"/>
          <w:b/>
          <w:kern w:val="0"/>
          <w:sz w:val="24"/>
          <w:lang w:eastAsia="zh-CN"/>
        </w:rPr>
        <w:t>武汉诚宇恒安全环保有限责任公司</w:t>
      </w:r>
      <w:r>
        <w:rPr>
          <w:rFonts w:hint="eastAsia" w:ascii="仿宋" w:hAnsi="仿宋" w:eastAsia="仿宋" w:cs="宋体"/>
          <w:b/>
          <w:kern w:val="0"/>
          <w:sz w:val="24"/>
        </w:rPr>
        <w:t>编制完成本项目环境影响评价报告表，并于202</w:t>
      </w:r>
      <w:r>
        <w:rPr>
          <w:rFonts w:hint="eastAsia" w:ascii="仿宋" w:hAnsi="仿宋" w:eastAsia="仿宋" w:cs="宋体"/>
          <w:b/>
          <w:kern w:val="0"/>
          <w:sz w:val="24"/>
          <w:lang w:val="en-US" w:eastAsia="zh-CN"/>
        </w:rPr>
        <w:t>2</w:t>
      </w:r>
      <w:r>
        <w:rPr>
          <w:rFonts w:hint="eastAsia" w:ascii="仿宋" w:hAnsi="仿宋" w:eastAsia="仿宋" w:cs="宋体"/>
          <w:b/>
          <w:kern w:val="0"/>
          <w:sz w:val="24"/>
        </w:rPr>
        <w:t>年1</w:t>
      </w:r>
      <w:r>
        <w:rPr>
          <w:rFonts w:hint="eastAsia" w:ascii="仿宋" w:hAnsi="仿宋" w:eastAsia="仿宋" w:cs="宋体"/>
          <w:b/>
          <w:kern w:val="0"/>
          <w:sz w:val="24"/>
          <w:lang w:val="en-US" w:eastAsia="zh-CN"/>
        </w:rPr>
        <w:t>2</w:t>
      </w:r>
      <w:r>
        <w:rPr>
          <w:rFonts w:hint="eastAsia" w:ascii="仿宋" w:hAnsi="仿宋" w:eastAsia="仿宋" w:cs="宋体"/>
          <w:b/>
          <w:kern w:val="0"/>
          <w:sz w:val="24"/>
        </w:rPr>
        <w:t>月取得武汉市生态环境局武汉经济技术开发区（汉南区）分局的环评批复（武环经开审[202</w:t>
      </w:r>
      <w:r>
        <w:rPr>
          <w:rFonts w:hint="eastAsia" w:ascii="仿宋" w:hAnsi="仿宋" w:eastAsia="仿宋" w:cs="宋体"/>
          <w:b/>
          <w:kern w:val="0"/>
          <w:sz w:val="24"/>
          <w:lang w:val="en-US" w:eastAsia="zh-CN"/>
        </w:rPr>
        <w:t>2</w:t>
      </w:r>
      <w:r>
        <w:rPr>
          <w:rFonts w:hint="eastAsia" w:ascii="仿宋" w:hAnsi="仿宋" w:eastAsia="仿宋" w:cs="宋体"/>
          <w:b/>
          <w:kern w:val="0"/>
          <w:sz w:val="24"/>
        </w:rPr>
        <w:t>]</w:t>
      </w:r>
      <w:r>
        <w:rPr>
          <w:rFonts w:hint="eastAsia" w:ascii="仿宋" w:hAnsi="仿宋" w:eastAsia="仿宋" w:cs="宋体"/>
          <w:b/>
          <w:kern w:val="0"/>
          <w:sz w:val="24"/>
          <w:lang w:val="en-US" w:eastAsia="zh-CN"/>
        </w:rPr>
        <w:t>158</w:t>
      </w:r>
      <w:r>
        <w:rPr>
          <w:rFonts w:hint="eastAsia" w:ascii="仿宋" w:hAnsi="仿宋" w:eastAsia="仿宋" w:cs="宋体"/>
          <w:b/>
          <w:kern w:val="0"/>
          <w:sz w:val="24"/>
        </w:rPr>
        <w:t>号）</w:t>
      </w:r>
      <w:r>
        <w:rPr>
          <w:rFonts w:hint="eastAsia" w:ascii="仿宋" w:hAnsi="仿宋" w:eastAsia="仿宋" w:cs="宋体"/>
          <w:b/>
          <w:kern w:val="0"/>
          <w:sz w:val="24"/>
          <w:lang w:val="en-US" w:eastAsia="zh-CN"/>
        </w:rPr>
        <w:t>.</w:t>
      </w:r>
      <w:r>
        <w:rPr>
          <w:rFonts w:hint="eastAsia" w:ascii="仿宋" w:hAnsi="仿宋" w:eastAsia="仿宋" w:cs="宋体"/>
          <w:b/>
          <w:kern w:val="0"/>
          <w:sz w:val="24"/>
        </w:rPr>
        <w:t>本项目于20</w:t>
      </w:r>
      <w:r>
        <w:rPr>
          <w:rFonts w:hint="eastAsia" w:ascii="仿宋" w:hAnsi="仿宋" w:eastAsia="仿宋" w:cs="宋体"/>
          <w:b/>
          <w:kern w:val="0"/>
          <w:sz w:val="24"/>
          <w:lang w:val="en-US" w:eastAsia="zh-CN"/>
        </w:rPr>
        <w:t>23</w:t>
      </w:r>
      <w:r>
        <w:rPr>
          <w:rFonts w:hint="eastAsia" w:ascii="仿宋" w:hAnsi="仿宋" w:eastAsia="仿宋" w:cs="宋体"/>
          <w:b/>
          <w:kern w:val="0"/>
          <w:sz w:val="24"/>
        </w:rPr>
        <w:t>年</w:t>
      </w:r>
      <w:r>
        <w:rPr>
          <w:rFonts w:hint="eastAsia" w:ascii="仿宋" w:hAnsi="仿宋" w:eastAsia="仿宋" w:cs="宋体"/>
          <w:b/>
          <w:color w:val="auto"/>
          <w:kern w:val="0"/>
          <w:sz w:val="24"/>
          <w:lang w:val="en-US" w:eastAsia="zh-CN"/>
        </w:rPr>
        <w:t>1</w:t>
      </w:r>
      <w:r>
        <w:rPr>
          <w:rFonts w:hint="eastAsia" w:ascii="仿宋" w:hAnsi="仿宋" w:eastAsia="仿宋" w:cs="宋体"/>
          <w:b/>
          <w:kern w:val="0"/>
          <w:sz w:val="24"/>
        </w:rPr>
        <w:t>月开工建设，20</w:t>
      </w:r>
      <w:r>
        <w:rPr>
          <w:rFonts w:hint="eastAsia" w:ascii="仿宋" w:hAnsi="仿宋" w:eastAsia="仿宋" w:cs="宋体"/>
          <w:b/>
          <w:kern w:val="0"/>
          <w:sz w:val="24"/>
          <w:lang w:val="en-US" w:eastAsia="zh-CN"/>
        </w:rPr>
        <w:t>23</w:t>
      </w:r>
      <w:r>
        <w:rPr>
          <w:rFonts w:hint="eastAsia" w:ascii="仿宋" w:hAnsi="仿宋" w:eastAsia="仿宋" w:cs="宋体"/>
          <w:b/>
          <w:kern w:val="0"/>
          <w:sz w:val="24"/>
        </w:rPr>
        <w:t>年</w:t>
      </w:r>
      <w:r>
        <w:rPr>
          <w:rFonts w:hint="eastAsia" w:ascii="仿宋" w:hAnsi="仿宋" w:eastAsia="仿宋" w:cs="宋体"/>
          <w:b/>
          <w:kern w:val="0"/>
          <w:sz w:val="24"/>
          <w:lang w:val="en-US" w:eastAsia="zh-CN"/>
        </w:rPr>
        <w:t>7</w:t>
      </w:r>
      <w:r>
        <w:rPr>
          <w:rFonts w:hint="eastAsia" w:ascii="仿宋" w:hAnsi="仿宋" w:eastAsia="仿宋" w:cs="宋体"/>
          <w:b/>
          <w:kern w:val="0"/>
          <w:sz w:val="24"/>
        </w:rPr>
        <w:t>月进入调试阶段，截至目前，项目各生产设施，环保设备等均能正常运行，达到竣工环境保护验收要求。</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3</w:t>
      </w:r>
      <w:r>
        <w:rPr>
          <w:rFonts w:ascii="仿宋" w:hAnsi="仿宋" w:eastAsia="仿宋"/>
          <w:b/>
          <w:sz w:val="24"/>
        </w:rPr>
        <w:t>、</w:t>
      </w:r>
      <w:r>
        <w:rPr>
          <w:rFonts w:hint="eastAsia" w:ascii="仿宋" w:hAnsi="仿宋" w:eastAsia="仿宋"/>
          <w:b/>
          <w:sz w:val="24"/>
        </w:rPr>
        <w:t>投资情况</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项目实际总投资</w:t>
      </w:r>
      <w:r>
        <w:rPr>
          <w:rFonts w:hint="eastAsia" w:ascii="仿宋" w:hAnsi="仿宋" w:eastAsia="仿宋"/>
          <w:b/>
          <w:color w:val="auto"/>
          <w:sz w:val="24"/>
          <w:lang w:val="en-US" w:eastAsia="zh-CN"/>
        </w:rPr>
        <w:t>16000</w:t>
      </w:r>
      <w:r>
        <w:rPr>
          <w:rFonts w:hint="eastAsia" w:ascii="仿宋" w:hAnsi="仿宋" w:eastAsia="仿宋"/>
          <w:b/>
          <w:color w:val="auto"/>
          <w:sz w:val="24"/>
        </w:rPr>
        <w:t>万元，其中环保投资</w:t>
      </w:r>
      <w:r>
        <w:rPr>
          <w:rFonts w:hint="eastAsia" w:ascii="仿宋" w:hAnsi="仿宋" w:eastAsia="仿宋"/>
          <w:b/>
          <w:color w:val="auto"/>
          <w:sz w:val="24"/>
          <w:lang w:val="en-US" w:eastAsia="zh-CN"/>
        </w:rPr>
        <w:t>87.15</w:t>
      </w:r>
      <w:r>
        <w:rPr>
          <w:rFonts w:hint="eastAsia" w:ascii="仿宋" w:hAnsi="仿宋" w:eastAsia="仿宋"/>
          <w:b/>
          <w:color w:val="auto"/>
          <w:sz w:val="24"/>
        </w:rPr>
        <w:t>万元，环</w:t>
      </w:r>
      <w:r>
        <w:rPr>
          <w:rFonts w:hint="eastAsia" w:ascii="仿宋" w:hAnsi="仿宋" w:eastAsia="仿宋"/>
          <w:b/>
          <w:sz w:val="24"/>
        </w:rPr>
        <w:t>保投资占总投资的比例为</w:t>
      </w:r>
      <w:r>
        <w:rPr>
          <w:rFonts w:hint="eastAsia" w:ascii="仿宋" w:hAnsi="仿宋" w:eastAsia="仿宋"/>
          <w:b/>
          <w:sz w:val="24"/>
          <w:lang w:val="en-US" w:eastAsia="zh-CN"/>
        </w:rPr>
        <w:t>0.545</w:t>
      </w:r>
      <w:r>
        <w:rPr>
          <w:rFonts w:hint="eastAsia" w:ascii="仿宋" w:hAnsi="仿宋" w:eastAsia="仿宋"/>
          <w:b/>
          <w:sz w:val="24"/>
        </w:rPr>
        <w:t>%。</w:t>
      </w:r>
    </w:p>
    <w:p>
      <w:pPr>
        <w:widowControl/>
        <w:spacing w:line="440" w:lineRule="exact"/>
        <w:ind w:firstLine="482" w:firstLineChars="200"/>
        <w:jc w:val="left"/>
        <w:rPr>
          <w:rFonts w:eastAsia="仿宋"/>
        </w:rPr>
      </w:pPr>
      <w:r>
        <w:rPr>
          <w:rFonts w:hint="eastAsia" w:ascii="仿宋" w:hAnsi="仿宋" w:eastAsia="仿宋"/>
          <w:b/>
          <w:sz w:val="24"/>
        </w:rPr>
        <w:t>4、验收范围</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本次验收范围</w:t>
      </w:r>
      <w:r>
        <w:rPr>
          <w:rFonts w:hint="eastAsia" w:ascii="仿宋" w:hAnsi="仿宋" w:eastAsia="仿宋" w:cs="宋体"/>
          <w:b/>
          <w:kern w:val="0"/>
          <w:sz w:val="24"/>
          <w:lang w:eastAsia="zh-CN"/>
        </w:rPr>
        <w:t>为注塑件扩建项目主体及环保设施</w:t>
      </w:r>
      <w:r>
        <w:rPr>
          <w:rFonts w:hint="eastAsia" w:ascii="仿宋" w:hAnsi="仿宋" w:eastAsia="仿宋" w:cs="宋体"/>
          <w:b/>
          <w:kern w:val="0"/>
          <w:sz w:val="24"/>
          <w:lang w:val="en-US" w:eastAsia="zh-CN"/>
        </w:rPr>
        <w:t>。</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二、工程变动情况</w:t>
      </w:r>
    </w:p>
    <w:p>
      <w:pPr>
        <w:widowControl/>
        <w:spacing w:line="440" w:lineRule="exact"/>
        <w:ind w:firstLine="482" w:firstLineChars="200"/>
        <w:jc w:val="left"/>
        <w:rPr>
          <w:rFonts w:ascii="仿宋" w:hAnsi="仿宋" w:eastAsia="仿宋"/>
          <w:b/>
          <w:sz w:val="24"/>
        </w:rPr>
      </w:pPr>
      <w:r>
        <w:rPr>
          <w:rFonts w:hint="eastAsia" w:ascii="仿宋" w:hAnsi="仿宋" w:eastAsia="仿宋"/>
          <w:b/>
          <w:sz w:val="24"/>
        </w:rPr>
        <w:t>根据中华人民共和国生态环境部办公厅关于印发《污染影响类建设项目重大变动清单（试行）》的通知环办环评函【2020】688号可知，本次验收范围内的建设内容、建设地点、性质、规模、生产工艺及配套的环保设施均未涉及重大变更。</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三</w:t>
      </w:r>
      <w:r>
        <w:rPr>
          <w:rFonts w:ascii="仿宋" w:hAnsi="仿宋" w:eastAsia="仿宋"/>
          <w:b/>
          <w:sz w:val="24"/>
        </w:rPr>
        <w:t>、环境保护设施建设情况</w:t>
      </w:r>
    </w:p>
    <w:p>
      <w:pPr>
        <w:spacing w:line="440" w:lineRule="exact"/>
        <w:ind w:firstLine="482" w:firstLineChars="200"/>
        <w:jc w:val="left"/>
        <w:outlineLvl w:val="0"/>
        <w:rPr>
          <w:rFonts w:hint="eastAsia" w:ascii="仿宋" w:hAnsi="仿宋" w:eastAsia="仿宋"/>
          <w:b/>
          <w:sz w:val="24"/>
          <w:lang w:eastAsia="zh-CN"/>
        </w:rPr>
      </w:pPr>
      <w:r>
        <w:rPr>
          <w:rFonts w:hint="eastAsia" w:ascii="仿宋" w:hAnsi="仿宋" w:eastAsia="仿宋"/>
          <w:b/>
          <w:sz w:val="24"/>
          <w:lang w:eastAsia="zh-CN"/>
        </w:rPr>
        <w:t>废气：（1）有机废气</w:t>
      </w:r>
    </w:p>
    <w:p>
      <w:pPr>
        <w:spacing w:line="440" w:lineRule="exact"/>
        <w:ind w:firstLine="482" w:firstLineChars="200"/>
        <w:jc w:val="left"/>
        <w:outlineLvl w:val="0"/>
        <w:rPr>
          <w:rFonts w:hint="eastAsia" w:ascii="仿宋" w:hAnsi="仿宋" w:eastAsia="仿宋"/>
          <w:b/>
          <w:sz w:val="24"/>
          <w:lang w:eastAsia="zh-CN"/>
        </w:rPr>
      </w:pPr>
      <w:r>
        <w:rPr>
          <w:rFonts w:hint="eastAsia" w:ascii="仿宋" w:hAnsi="仿宋" w:eastAsia="仿宋"/>
          <w:b/>
          <w:sz w:val="24"/>
          <w:lang w:eastAsia="zh-CN"/>
        </w:rPr>
        <w:t>本项目注塑、印刷和热压工序产生有机废气，主要污染物为非甲烷总烃。</w:t>
      </w:r>
    </w:p>
    <w:p>
      <w:pPr>
        <w:spacing w:line="440" w:lineRule="exact"/>
        <w:ind w:firstLine="482" w:firstLineChars="200"/>
        <w:jc w:val="left"/>
        <w:outlineLvl w:val="0"/>
        <w:rPr>
          <w:rFonts w:hint="eastAsia" w:ascii="仿宋" w:hAnsi="仿宋" w:eastAsia="仿宋"/>
          <w:b/>
          <w:sz w:val="24"/>
          <w:lang w:eastAsia="zh-CN"/>
        </w:rPr>
      </w:pPr>
      <w:r>
        <w:rPr>
          <w:rFonts w:hint="eastAsia" w:ascii="仿宋" w:hAnsi="仿宋" w:eastAsia="仿宋"/>
          <w:b/>
          <w:sz w:val="24"/>
          <w:lang w:eastAsia="zh-CN"/>
        </w:rPr>
        <w:t>项目产生的有机废气经集气罩收集后通过1套二级活性炭吸附装置净化处理后由15m排气筒高空排放。</w:t>
      </w:r>
    </w:p>
    <w:p>
      <w:pPr>
        <w:spacing w:line="440" w:lineRule="exact"/>
        <w:ind w:firstLine="482" w:firstLineChars="200"/>
        <w:jc w:val="left"/>
        <w:outlineLvl w:val="0"/>
        <w:rPr>
          <w:rFonts w:hint="eastAsia" w:ascii="仿宋" w:hAnsi="仿宋" w:eastAsia="仿宋"/>
          <w:b/>
          <w:sz w:val="24"/>
          <w:lang w:eastAsia="zh-CN"/>
        </w:rPr>
      </w:pPr>
      <w:r>
        <w:rPr>
          <w:rFonts w:hint="eastAsia" w:ascii="仿宋" w:hAnsi="仿宋" w:eastAsia="仿宋"/>
          <w:b/>
          <w:sz w:val="24"/>
          <w:lang w:eastAsia="zh-CN"/>
        </w:rPr>
        <w:t>（2）破碎废气</w:t>
      </w:r>
    </w:p>
    <w:p>
      <w:pPr>
        <w:spacing w:line="440" w:lineRule="exact"/>
        <w:ind w:firstLine="482" w:firstLineChars="200"/>
        <w:jc w:val="left"/>
        <w:outlineLvl w:val="0"/>
        <w:rPr>
          <w:rFonts w:hint="eastAsia" w:ascii="仿宋" w:hAnsi="仿宋" w:eastAsia="仿宋"/>
          <w:b/>
          <w:sz w:val="24"/>
          <w:lang w:eastAsia="zh-CN"/>
        </w:rPr>
      </w:pPr>
      <w:r>
        <w:rPr>
          <w:rFonts w:hint="eastAsia" w:ascii="仿宋" w:hAnsi="仿宋" w:eastAsia="仿宋"/>
          <w:b/>
          <w:sz w:val="24"/>
          <w:lang w:eastAsia="zh-CN"/>
        </w:rPr>
        <w:t>本项目产生的不合格品及注塑边角料进行破碎时产生含尘废气，主要污染物为颗粒物。</w:t>
      </w:r>
    </w:p>
    <w:p>
      <w:pPr>
        <w:spacing w:line="440" w:lineRule="exact"/>
        <w:ind w:firstLine="482" w:firstLineChars="200"/>
        <w:jc w:val="left"/>
        <w:outlineLvl w:val="0"/>
        <w:rPr>
          <w:rFonts w:hint="eastAsia" w:ascii="仿宋" w:hAnsi="仿宋" w:eastAsia="仿宋"/>
          <w:b/>
          <w:sz w:val="24"/>
        </w:rPr>
      </w:pPr>
      <w:r>
        <w:rPr>
          <w:rFonts w:hint="eastAsia" w:ascii="仿宋" w:hAnsi="仿宋" w:eastAsia="仿宋"/>
          <w:b/>
          <w:sz w:val="24"/>
          <w:lang w:eastAsia="zh-CN"/>
        </w:rPr>
        <w:t>破碎废气经1套布袋除尘器处理后通过20m高排气筒排放。废水：本项目无生产废水，新增劳动定员，主要为食堂废水和办公生活污水，主要污染物为COD、SS、氨氮和动植物油；项目产生的食堂废水经隔油池预处理后与办公生活废水混流进化粪池预处理，后由污水管网排入市政污水管网进入汉南污水处理厂处理，处理后尾水排入马影河。</w:t>
      </w:r>
    </w:p>
    <w:p>
      <w:pPr>
        <w:spacing w:line="440" w:lineRule="exact"/>
        <w:ind w:firstLine="482" w:firstLineChars="200"/>
        <w:jc w:val="left"/>
        <w:outlineLvl w:val="0"/>
        <w:rPr>
          <w:rFonts w:hint="eastAsia" w:ascii="仿宋" w:hAnsi="仿宋" w:eastAsia="仿宋"/>
          <w:b/>
          <w:sz w:val="24"/>
        </w:rPr>
      </w:pPr>
      <w:r>
        <w:rPr>
          <w:rFonts w:hint="eastAsia" w:ascii="仿宋" w:hAnsi="仿宋" w:eastAsia="仿宋"/>
          <w:b/>
          <w:sz w:val="24"/>
        </w:rPr>
        <w:t>本项目营运期噪声主要为水泵、风机、注塑机、印刷机、焊接机、破碎机、模具维修机加工设备、破碎机等生产设备运行时产生的噪声。</w:t>
      </w:r>
    </w:p>
    <w:p>
      <w:pPr>
        <w:spacing w:line="440" w:lineRule="exact"/>
        <w:ind w:firstLine="482" w:firstLineChars="200"/>
        <w:jc w:val="left"/>
        <w:outlineLvl w:val="0"/>
        <w:rPr>
          <w:rFonts w:hint="eastAsia" w:ascii="仿宋" w:hAnsi="仿宋" w:eastAsia="仿宋"/>
          <w:b/>
          <w:sz w:val="24"/>
        </w:rPr>
      </w:pPr>
      <w:r>
        <w:rPr>
          <w:rFonts w:hint="eastAsia" w:ascii="仿宋" w:hAnsi="仿宋" w:eastAsia="仿宋"/>
          <w:b/>
          <w:sz w:val="24"/>
        </w:rPr>
        <w:t>本项目噪声的治理技术方法主要从声源源头降低噪声、从传播途径上降低噪声。具体措施如下：</w:t>
      </w:r>
    </w:p>
    <w:p>
      <w:pPr>
        <w:spacing w:line="440" w:lineRule="exact"/>
        <w:ind w:firstLine="482" w:firstLineChars="200"/>
        <w:jc w:val="left"/>
        <w:outlineLvl w:val="0"/>
        <w:rPr>
          <w:rFonts w:hint="eastAsia" w:ascii="仿宋" w:hAnsi="仿宋" w:eastAsia="仿宋"/>
          <w:b/>
          <w:sz w:val="24"/>
        </w:rPr>
      </w:pPr>
      <w:r>
        <w:rPr>
          <w:rFonts w:hint="eastAsia" w:ascii="仿宋" w:hAnsi="仿宋" w:eastAsia="仿宋"/>
          <w:b/>
          <w:sz w:val="24"/>
        </w:rPr>
        <w:t>（1）优选低噪声设备，从源头上降低噪声；</w:t>
      </w:r>
    </w:p>
    <w:p>
      <w:pPr>
        <w:spacing w:line="440" w:lineRule="exact"/>
        <w:ind w:firstLine="482" w:firstLineChars="200"/>
        <w:jc w:val="left"/>
        <w:outlineLvl w:val="0"/>
        <w:rPr>
          <w:rFonts w:hint="eastAsia" w:ascii="仿宋" w:hAnsi="仿宋" w:eastAsia="仿宋"/>
          <w:b/>
          <w:sz w:val="24"/>
        </w:rPr>
      </w:pPr>
      <w:r>
        <w:rPr>
          <w:rFonts w:hint="eastAsia" w:ascii="仿宋" w:hAnsi="仿宋" w:eastAsia="仿宋"/>
          <w:b/>
          <w:sz w:val="24"/>
        </w:rPr>
        <w:t>（2）设备布置在生产车间内，通过厂房隔声降噪；</w:t>
      </w:r>
    </w:p>
    <w:p>
      <w:pPr>
        <w:spacing w:line="440" w:lineRule="exact"/>
        <w:ind w:firstLine="482" w:firstLineChars="200"/>
        <w:jc w:val="left"/>
        <w:outlineLvl w:val="0"/>
        <w:rPr>
          <w:rFonts w:hint="eastAsia" w:ascii="仿宋" w:hAnsi="仿宋" w:eastAsia="仿宋"/>
          <w:b/>
          <w:sz w:val="24"/>
        </w:rPr>
      </w:pPr>
      <w:r>
        <w:rPr>
          <w:rFonts w:hint="eastAsia" w:ascii="仿宋" w:hAnsi="仿宋" w:eastAsia="仿宋"/>
          <w:b/>
          <w:sz w:val="24"/>
        </w:rPr>
        <w:t>（2）在各种机械设备底座与基础之间加设橡胶隔振器进行减振；</w:t>
      </w:r>
    </w:p>
    <w:p>
      <w:pPr>
        <w:spacing w:line="440" w:lineRule="exact"/>
        <w:ind w:firstLine="482" w:firstLineChars="200"/>
        <w:jc w:val="left"/>
        <w:outlineLvl w:val="0"/>
        <w:rPr>
          <w:rFonts w:hint="eastAsia" w:ascii="仿宋" w:hAnsi="仿宋" w:eastAsia="仿宋"/>
          <w:b/>
          <w:sz w:val="24"/>
        </w:rPr>
      </w:pPr>
      <w:r>
        <w:rPr>
          <w:rFonts w:hint="eastAsia" w:ascii="仿宋" w:hAnsi="仿宋" w:eastAsia="仿宋"/>
          <w:b/>
          <w:sz w:val="24"/>
        </w:rPr>
        <w:t>（3）加强各种机械设备日常维护检修、保养和管理，避免设备在非正常状态下运行出现高噪声、振动情况。</w:t>
      </w:r>
    </w:p>
    <w:p>
      <w:pPr>
        <w:spacing w:line="440" w:lineRule="exact"/>
        <w:ind w:firstLine="482" w:firstLineChars="200"/>
        <w:jc w:val="left"/>
        <w:outlineLvl w:val="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生活垃圾：本项目产生的生活垃圾定期交由环卫部门清运处置。</w:t>
      </w:r>
    </w:p>
    <w:p>
      <w:pPr>
        <w:spacing w:line="440" w:lineRule="exact"/>
        <w:ind w:firstLine="482" w:firstLineChars="200"/>
        <w:jc w:val="left"/>
        <w:outlineLvl w:val="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一般固体废物：本项目一般固体废物主要为废包装材料、金属屑、不合格品、废边角料；其中废包装材料和金属屑交由物资回收部门回收利用；不合格品和废边角料经破碎后再生利用。</w:t>
      </w:r>
    </w:p>
    <w:p>
      <w:pPr>
        <w:spacing w:line="440" w:lineRule="exact"/>
        <w:ind w:firstLine="482" w:firstLineChars="200"/>
        <w:jc w:val="left"/>
        <w:outlineLvl w:val="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危险废物：本项目产生的危险废物主要有设备维护检修产生的废矿物油及其废弃包装物（HW08 900-249-08）、油水混合物（HW09 900-007-09）和作业过程中产生的含油抹布以及废油手套（HW49 900-041-49）；生产过程产生的废油墨桶（HW49 900-041-49）和清洁印刷机、模具产生的清洁废抹布（HW49 900-041-49）；有机废气处理设施更换吸附介质产生的废活性炭（HW49 900-039-49）。</w:t>
      </w:r>
    </w:p>
    <w:p>
      <w:pPr>
        <w:spacing w:line="440" w:lineRule="exact"/>
        <w:ind w:firstLine="482" w:firstLineChars="200"/>
        <w:jc w:val="left"/>
        <w:outlineLvl w:val="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含油抹布以及废油手套、清洁废抹布混入生活垃圾，该环节豁免。</w:t>
      </w:r>
    </w:p>
    <w:p>
      <w:pPr>
        <w:spacing w:line="440" w:lineRule="exact"/>
        <w:ind w:firstLine="482" w:firstLineChars="200"/>
        <w:jc w:val="left"/>
        <w:outlineLvl w:val="0"/>
        <w:rPr>
          <w:rFonts w:ascii="仿宋" w:hAnsi="仿宋" w:eastAsia="仿宋"/>
          <w:b/>
          <w:sz w:val="24"/>
        </w:rPr>
      </w:pPr>
      <w:r>
        <w:rPr>
          <w:rFonts w:hint="eastAsia" w:ascii="仿宋" w:hAnsi="仿宋" w:eastAsia="仿宋" w:cs="宋体"/>
          <w:b/>
          <w:kern w:val="0"/>
          <w:sz w:val="24"/>
          <w:lang w:val="en-US" w:eastAsia="zh-CN"/>
        </w:rPr>
        <w:t>四、</w:t>
      </w:r>
      <w:r>
        <w:rPr>
          <w:rFonts w:ascii="仿宋" w:hAnsi="仿宋" w:eastAsia="仿宋"/>
          <w:b/>
          <w:sz w:val="24"/>
        </w:rPr>
        <w:t>环境保护设施调试效果</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1）废水</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本次监测，污水总排口中pH值、化学需氧量、悬浮物、动植物油监测结果均符合《污水综合排放标准》（GB 8978-1996）表4三级标准限值要求；氨氮监测结果符合《污水排入城镇下水道水质标准》（GB/T 31962-2015）表1 B级标准限值要求。</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2）废气</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有组织废气：本次监测，有机废气处理设施出口非甲烷总烃监测结果符合《湖北省印刷行业挥发性有机物排放标准》（DB 42/1538-2019）表1标准限值要求；破碎废气处理设施出口中颗粒物监测结果均符合《大气污染物综合排放标准》(GB 16297-1996)表2二级标准限值要求。</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无组织废气：本次监测，厂界无组织废气中颗粒物监测结果最大值为0.401mg/m</w:t>
      </w:r>
      <w:r>
        <w:rPr>
          <w:rFonts w:hint="default" w:ascii="仿宋" w:hAnsi="仿宋" w:eastAsia="仿宋" w:cs="仿宋"/>
          <w:b/>
          <w:bCs/>
          <w:kern w:val="2"/>
          <w:sz w:val="24"/>
          <w:szCs w:val="24"/>
          <w:vertAlign w:val="superscript"/>
          <w:lang w:val="en-US" w:eastAsia="zh-CN" w:bidi="ar-SA"/>
        </w:rPr>
        <w:t>3</w:t>
      </w:r>
      <w:r>
        <w:rPr>
          <w:rFonts w:hint="default" w:ascii="仿宋" w:hAnsi="仿宋" w:eastAsia="仿宋" w:cs="仿宋"/>
          <w:b/>
          <w:bCs/>
          <w:kern w:val="2"/>
          <w:sz w:val="24"/>
          <w:szCs w:val="24"/>
          <w:lang w:val="en-US" w:eastAsia="zh-CN" w:bidi="ar-SA"/>
        </w:rPr>
        <w:t>，符合《大气污染物综合排放标准》(GB 16297-1996)表2二级标准限值；非甲烷总烃监测结果最大值为1.37mg/m</w:t>
      </w:r>
      <w:r>
        <w:rPr>
          <w:rFonts w:hint="default" w:ascii="仿宋" w:hAnsi="仿宋" w:eastAsia="仿宋" w:cs="仿宋"/>
          <w:b/>
          <w:bCs/>
          <w:kern w:val="2"/>
          <w:sz w:val="24"/>
          <w:szCs w:val="24"/>
          <w:vertAlign w:val="superscript"/>
          <w:lang w:val="en-US" w:eastAsia="zh-CN" w:bidi="ar-SA"/>
        </w:rPr>
        <w:t>3</w:t>
      </w:r>
      <w:r>
        <w:rPr>
          <w:rFonts w:hint="default" w:ascii="仿宋" w:hAnsi="仿宋" w:eastAsia="仿宋" w:cs="仿宋"/>
          <w:b/>
          <w:bCs/>
          <w:kern w:val="2"/>
          <w:sz w:val="24"/>
          <w:szCs w:val="24"/>
          <w:lang w:val="en-US" w:eastAsia="zh-CN" w:bidi="ar-SA"/>
        </w:rPr>
        <w:t>，符合《湖北省印刷行业挥发性有机物排放标准》（DB 42/1538-2019）表2标准限值要求。注塑车间西侧门外无组织废气中非甲烷总烃监测结果最大值为2.27mg/m</w:t>
      </w:r>
      <w:r>
        <w:rPr>
          <w:rFonts w:hint="default" w:ascii="仿宋" w:hAnsi="仿宋" w:eastAsia="仿宋" w:cs="仿宋"/>
          <w:b/>
          <w:bCs/>
          <w:kern w:val="2"/>
          <w:sz w:val="24"/>
          <w:szCs w:val="24"/>
          <w:vertAlign w:val="superscript"/>
          <w:lang w:val="en-US" w:eastAsia="zh-CN" w:bidi="ar-SA"/>
        </w:rPr>
        <w:t>3</w:t>
      </w:r>
      <w:r>
        <w:rPr>
          <w:rFonts w:hint="default" w:ascii="仿宋" w:hAnsi="仿宋" w:eastAsia="仿宋" w:cs="仿宋"/>
          <w:b/>
          <w:bCs/>
          <w:kern w:val="2"/>
          <w:sz w:val="24"/>
          <w:szCs w:val="24"/>
          <w:lang w:val="en-US" w:eastAsia="zh-CN" w:bidi="ar-SA"/>
        </w:rPr>
        <w:t>，符合《挥发性有机物无组织排放控制标准》（GB 37822-2019)表A.1特别排放限值要求。</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3）噪声</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本次监测，该项目厂界东外1m处1#、厂界东外1m处2#、厂界北外1m处6#昼间、夜间噪声监测结果均符合《工业企业厂界环境噪声排放标准》（GB 12348-2008)3类标准限值要求；厂界南外1m处3#、厂界西外1m处4#、厂界西外1m处5#昼间、夜间噪声监测结果均符合《工业企业厂界环境噪声排放标准》（GB 12348-2008)3类标准限值要求。</w:t>
      </w:r>
    </w:p>
    <w:p>
      <w:pPr>
        <w:pStyle w:val="65"/>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jc w:val="both"/>
        <w:textAlignment w:val="auto"/>
        <w:outlineLvl w:val="9"/>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4）总量控制</w:t>
      </w:r>
    </w:p>
    <w:p>
      <w:pPr>
        <w:widowControl/>
        <w:spacing w:line="440" w:lineRule="exact"/>
        <w:ind w:firstLine="482" w:firstLineChars="200"/>
        <w:jc w:val="left"/>
        <w:rPr>
          <w:rFonts w:hint="eastAsia" w:ascii="仿宋" w:hAnsi="仿宋" w:eastAsia="仿宋"/>
          <w:b/>
          <w:sz w:val="24"/>
          <w:lang w:eastAsia="zh-CN"/>
        </w:rPr>
      </w:pPr>
      <w:r>
        <w:rPr>
          <w:rFonts w:hint="eastAsia" w:ascii="仿宋" w:hAnsi="仿宋" w:eastAsia="仿宋"/>
          <w:b/>
          <w:sz w:val="24"/>
          <w:lang w:eastAsia="zh-CN"/>
        </w:rPr>
        <w:t>本项目实际排放总量满足环评总量控制指标要求。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b/>
          <w:sz w:val="24"/>
          <w:lang w:eastAsia="zh-CN"/>
        </w:rPr>
        <w:t>五</w:t>
      </w:r>
      <w:r>
        <w:rPr>
          <w:rFonts w:ascii="仿宋" w:hAnsi="仿宋" w:eastAsia="仿宋"/>
          <w:b/>
          <w:sz w:val="24"/>
        </w:rPr>
        <w:t>、后续要求与建议</w:t>
      </w:r>
    </w:p>
    <w:p>
      <w:pPr>
        <w:widowControl/>
        <w:spacing w:line="440" w:lineRule="exact"/>
        <w:ind w:firstLine="482" w:firstLineChars="200"/>
        <w:jc w:val="left"/>
        <w:rPr>
          <w:rFonts w:hint="eastAsia" w:ascii="仿宋" w:hAnsi="仿宋" w:eastAsia="仿宋" w:cs="宋体"/>
          <w:b/>
          <w:kern w:val="0"/>
          <w:sz w:val="24"/>
          <w:lang w:eastAsia="zh-CN"/>
        </w:rPr>
      </w:pPr>
      <w:r>
        <w:rPr>
          <w:rFonts w:hint="eastAsia" w:ascii="仿宋" w:hAnsi="仿宋" w:eastAsia="仿宋" w:cs="宋体"/>
          <w:b/>
          <w:kern w:val="0"/>
          <w:sz w:val="24"/>
          <w:lang w:eastAsia="zh-CN"/>
        </w:rPr>
        <w:t>1、进一步核实项目变动情况（排气筒），结合项目总量控制指标、排污许可制度落实情况等，完善环境合规性分析。</w:t>
      </w:r>
    </w:p>
    <w:p>
      <w:pPr>
        <w:widowControl/>
        <w:spacing w:line="440" w:lineRule="exact"/>
        <w:ind w:firstLine="482" w:firstLineChars="200"/>
        <w:jc w:val="left"/>
        <w:rPr>
          <w:rFonts w:hint="eastAsia" w:ascii="仿宋" w:hAnsi="仿宋" w:eastAsia="仿宋" w:cs="宋体"/>
          <w:b/>
          <w:kern w:val="0"/>
          <w:sz w:val="24"/>
          <w:lang w:eastAsia="zh-CN"/>
        </w:rPr>
      </w:pPr>
      <w:r>
        <w:rPr>
          <w:rFonts w:hint="eastAsia" w:ascii="仿宋" w:hAnsi="仿宋" w:eastAsia="仿宋" w:cs="宋体"/>
          <w:b/>
          <w:kern w:val="0"/>
          <w:sz w:val="24"/>
          <w:lang w:eastAsia="zh-CN"/>
        </w:rPr>
        <w:t>2、加强现场环境管理，杜绝跑冒滴漏现象；强化有机废气的收集、处置措施，最大限度减少挥发性有机物的无组织排放；完善项目环保设施标识、标牌设置，污染治理设施工艺流程及运行管理制度应上墙。</w:t>
      </w:r>
    </w:p>
    <w:p>
      <w:pPr>
        <w:widowControl/>
        <w:spacing w:line="440" w:lineRule="exact"/>
        <w:ind w:firstLine="482" w:firstLineChars="200"/>
        <w:jc w:val="left"/>
        <w:rPr>
          <w:rFonts w:hint="eastAsia" w:ascii="仿宋" w:hAnsi="仿宋" w:eastAsia="仿宋" w:cs="宋体"/>
          <w:b/>
          <w:kern w:val="0"/>
          <w:sz w:val="24"/>
          <w:lang w:eastAsia="zh-CN"/>
        </w:rPr>
      </w:pPr>
      <w:r>
        <w:rPr>
          <w:rFonts w:hint="eastAsia" w:ascii="仿宋" w:hAnsi="仿宋" w:eastAsia="仿宋" w:cs="宋体"/>
          <w:b/>
          <w:kern w:val="0"/>
          <w:sz w:val="24"/>
          <w:lang w:eastAsia="zh-CN"/>
        </w:rPr>
        <w:t>3、按国家相关标准、规范要求，进一步完善项目危废暂存间的建设（防渗、分区、通排风、标签标牌、管理制度、台账记录等）；完善一般工业固废贮存场所的建设（防雨）。</w:t>
      </w:r>
    </w:p>
    <w:p>
      <w:pPr>
        <w:widowControl/>
        <w:spacing w:line="440" w:lineRule="exact"/>
        <w:ind w:firstLine="482" w:firstLineChars="200"/>
        <w:jc w:val="left"/>
        <w:rPr>
          <w:rFonts w:hint="eastAsia" w:ascii="仿宋" w:hAnsi="仿宋" w:eastAsia="仿宋" w:cs="宋体"/>
          <w:b/>
          <w:kern w:val="0"/>
          <w:sz w:val="24"/>
          <w:lang w:eastAsia="zh-CN"/>
        </w:rPr>
      </w:pPr>
      <w:r>
        <w:rPr>
          <w:rFonts w:hint="eastAsia" w:ascii="仿宋" w:hAnsi="仿宋" w:eastAsia="仿宋" w:cs="宋体"/>
          <w:b/>
          <w:kern w:val="0"/>
          <w:sz w:val="24"/>
          <w:lang w:eastAsia="zh-CN"/>
        </w:rPr>
        <w:t>4、完善相关附图附件。</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lang w:eastAsia="zh-CN"/>
        </w:rPr>
        <w:t>六</w:t>
      </w:r>
      <w:r>
        <w:rPr>
          <w:rFonts w:hint="eastAsia" w:ascii="仿宋" w:hAnsi="仿宋" w:eastAsia="仿宋" w:cs="宋体"/>
          <w:b/>
          <w:kern w:val="0"/>
          <w:sz w:val="24"/>
        </w:rPr>
        <w:t>、验收结论</w:t>
      </w:r>
    </w:p>
    <w:p>
      <w:pPr>
        <w:widowControl/>
        <w:spacing w:line="440" w:lineRule="exact"/>
        <w:ind w:firstLine="482" w:firstLineChars="200"/>
        <w:jc w:val="left"/>
        <w:rPr>
          <w:rFonts w:ascii="仿宋" w:hAnsi="仿宋" w:eastAsia="仿宋" w:cs="仿宋"/>
          <w:b/>
          <w:bCs/>
          <w:kern w:val="0"/>
          <w:sz w:val="24"/>
        </w:rPr>
      </w:pPr>
      <w:r>
        <w:rPr>
          <w:rFonts w:hint="eastAsia" w:ascii="仿宋" w:hAnsi="仿宋" w:eastAsia="仿宋" w:cs="仿宋"/>
          <w:b/>
          <w:kern w:val="0"/>
          <w:sz w:val="24"/>
          <w:lang w:eastAsia="zh-CN"/>
        </w:rPr>
        <w:t>富诚汽车零部件武汉有限公司富诚汽车零部件注塑件扩建项目</w:t>
      </w:r>
      <w:r>
        <w:rPr>
          <w:rFonts w:hint="eastAsia" w:ascii="仿宋" w:hAnsi="仿宋" w:eastAsia="仿宋" w:cs="仿宋"/>
          <w:b/>
          <w:kern w:val="0"/>
          <w:sz w:val="24"/>
        </w:rPr>
        <w:t>在</w:t>
      </w:r>
      <w:r>
        <w:rPr>
          <w:rFonts w:hint="eastAsia" w:ascii="仿宋" w:hAnsi="仿宋" w:eastAsia="仿宋" w:cs="仿宋"/>
          <w:b/>
          <w:bCs/>
          <w:kern w:val="0"/>
          <w:sz w:val="24"/>
        </w:rPr>
        <w:t>实施过程中，按照国家建设项目环境保护“三同时”制度，落实了环评报告表及其审批文件中提出的污染防治措施，建设地点、建设性质、建设规模、工艺流程和环保设施等无重大变更。从验收监测单位提供的监测结果来看，项目产生的各类污染物排放满足相关标准要求。验收组结合现场实际情况认为，本项目总体符合建设项目竣工环保验收条件。</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八、验收人员信息</w:t>
      </w:r>
    </w:p>
    <w:p>
      <w:pPr>
        <w:widowControl/>
        <w:spacing w:line="440" w:lineRule="exact"/>
        <w:ind w:firstLine="482" w:firstLineChars="200"/>
        <w:jc w:val="left"/>
      </w:pPr>
      <w:r>
        <w:rPr>
          <w:rFonts w:hint="eastAsia" w:ascii="仿宋" w:hAnsi="仿宋" w:eastAsia="仿宋" w:cs="宋体"/>
          <w:b/>
          <w:kern w:val="0"/>
          <w:sz w:val="24"/>
        </w:rPr>
        <w:t>验收工作组成员名单及信息附后。</w:t>
      </w:r>
    </w:p>
    <w:p>
      <w:pPr>
        <w:spacing w:line="360" w:lineRule="auto"/>
        <w:jc w:val="right"/>
        <w:rPr>
          <w:rFonts w:ascii="仿宋" w:hAnsi="仿宋" w:eastAsia="仿宋"/>
          <w:b/>
          <w:sz w:val="24"/>
        </w:rPr>
      </w:pPr>
      <w:r>
        <w:rPr>
          <w:rFonts w:hint="eastAsia" w:ascii="仿宋" w:hAnsi="仿宋" w:eastAsia="仿宋" w:cs="仿宋"/>
          <w:b/>
          <w:kern w:val="0"/>
          <w:sz w:val="24"/>
          <w:lang w:eastAsia="zh-CN"/>
        </w:rPr>
        <w:t>富诚汽车零部件武汉有限公司富诚汽车零部件注塑件扩建项目</w:t>
      </w:r>
      <w:r>
        <w:rPr>
          <w:rFonts w:hint="eastAsia" w:ascii="仿宋" w:hAnsi="仿宋" w:eastAsia="仿宋"/>
          <w:b/>
          <w:sz w:val="24"/>
        </w:rPr>
        <w:t>环保</w:t>
      </w:r>
      <w:r>
        <w:rPr>
          <w:rFonts w:ascii="仿宋" w:hAnsi="仿宋" w:eastAsia="仿宋"/>
          <w:b/>
          <w:sz w:val="24"/>
        </w:rPr>
        <w:t>验收组</w:t>
      </w:r>
    </w:p>
    <w:p>
      <w:pPr>
        <w:pStyle w:val="29"/>
        <w:spacing w:line="360" w:lineRule="auto"/>
        <w:jc w:val="right"/>
        <w:rPr>
          <w:rFonts w:hint="eastAsia" w:ascii="仿宋" w:hAnsi="仿宋" w:eastAsia="仿宋" w:cs="仿宋"/>
          <w:b/>
          <w:color w:val="auto"/>
        </w:rPr>
      </w:pPr>
      <w:r>
        <w:rPr>
          <w:rFonts w:ascii="仿宋" w:hAnsi="仿宋" w:eastAsia="仿宋" w:cs="仿宋"/>
          <w:b/>
          <w:color w:val="auto"/>
        </w:rPr>
        <w:t>202</w:t>
      </w:r>
      <w:r>
        <w:rPr>
          <w:rFonts w:hint="eastAsia" w:ascii="仿宋" w:hAnsi="仿宋" w:eastAsia="仿宋" w:cs="仿宋"/>
          <w:b/>
          <w:color w:val="auto"/>
          <w:lang w:val="en-US" w:eastAsia="zh-CN"/>
        </w:rPr>
        <w:t>4</w:t>
      </w:r>
      <w:r>
        <w:rPr>
          <w:rFonts w:ascii="仿宋" w:hAnsi="仿宋" w:eastAsia="仿宋" w:cs="仿宋"/>
          <w:b/>
          <w:color w:val="auto"/>
        </w:rPr>
        <w:t>年</w:t>
      </w:r>
      <w:r>
        <w:rPr>
          <w:rFonts w:hint="eastAsia" w:ascii="仿宋" w:hAnsi="仿宋" w:eastAsia="仿宋" w:cs="仿宋"/>
          <w:b/>
          <w:color w:val="auto"/>
          <w:lang w:val="en-US" w:eastAsia="zh-CN"/>
        </w:rPr>
        <w:t>1</w:t>
      </w:r>
      <w:r>
        <w:rPr>
          <w:rFonts w:ascii="仿宋" w:hAnsi="仿宋" w:eastAsia="仿宋" w:cs="仿宋"/>
          <w:b/>
          <w:color w:val="auto"/>
        </w:rPr>
        <w:t>月</w:t>
      </w:r>
      <w:r>
        <w:rPr>
          <w:rFonts w:hint="eastAsia" w:ascii="仿宋" w:hAnsi="仿宋" w:eastAsia="仿宋" w:cs="仿宋"/>
          <w:b/>
          <w:color w:val="auto"/>
          <w:lang w:val="en-US" w:eastAsia="zh-CN"/>
        </w:rPr>
        <w:t>4</w:t>
      </w:r>
      <w:r>
        <w:rPr>
          <w:rFonts w:hint="eastAsia" w:ascii="仿宋" w:hAnsi="仿宋" w:eastAsia="仿宋" w:cs="仿宋"/>
          <w:b/>
          <w:color w:val="auto"/>
        </w:rPr>
        <w:t>日</w:t>
      </w:r>
    </w:p>
    <w:p>
      <w:pPr>
        <w:rPr>
          <w:rFonts w:hint="eastAsia" w:ascii="仿宋" w:hAnsi="仿宋" w:eastAsia="仿宋" w:cs="仿宋"/>
          <w:b/>
          <w:color w:val="auto"/>
        </w:rPr>
      </w:pPr>
      <w:r>
        <w:rPr>
          <w:rFonts w:hint="eastAsia" w:ascii="仿宋" w:hAnsi="仿宋" w:eastAsia="仿宋" w:cs="仿宋"/>
          <w:b/>
          <w:color w:val="auto"/>
        </w:rPr>
        <w:br w:type="page"/>
      </w:r>
    </w:p>
    <w:p>
      <w:pPr>
        <w:pStyle w:val="19"/>
      </w:pPr>
      <w:r>
        <w:rPr>
          <w:rFonts w:hint="eastAsia" w:eastAsia="宋体"/>
          <w:color w:val="auto"/>
          <w:highlight w:val="none"/>
          <w:lang w:eastAsia="zh-CN"/>
        </w:rPr>
        <w:drawing>
          <wp:inline distT="0" distB="0" distL="114300" distR="114300">
            <wp:extent cx="6186170" cy="8751570"/>
            <wp:effectExtent l="0" t="0" r="1270" b="11430"/>
            <wp:docPr id="2" name="图片 1" descr="20240118183126-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240118183126-0001"/>
                    <pic:cNvPicPr>
                      <a:picLocks noChangeAspect="1"/>
                    </pic:cNvPicPr>
                  </pic:nvPicPr>
                  <pic:blipFill>
                    <a:blip r:embed="rId5"/>
                    <a:stretch>
                      <a:fillRect/>
                    </a:stretch>
                  </pic:blipFill>
                  <pic:spPr>
                    <a:xfrm>
                      <a:off x="0" y="0"/>
                      <a:ext cx="6186170" cy="8751570"/>
                    </a:xfrm>
                    <a:prstGeom prst="rect">
                      <a:avLst/>
                    </a:prstGeom>
                    <a:noFill/>
                    <a:ln>
                      <a:noFill/>
                    </a:ln>
                  </pic:spPr>
                </pic:pic>
              </a:graphicData>
            </a:graphic>
          </wp:inline>
        </w:drawing>
      </w:r>
      <w:bookmarkStart w:id="0" w:name="_GoBack"/>
      <w:bookmarkEnd w:id="0"/>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D7937"/>
    <w:multiLevelType w:val="singleLevel"/>
    <w:tmpl w:val="39CD7937"/>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1">
    <w:nsid w:val="544D6817"/>
    <w:multiLevelType w:val="multilevel"/>
    <w:tmpl w:val="544D68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2"/>
      <w:lvlJc w:val="left"/>
      <w:pPr>
        <w:tabs>
          <w:tab w:val="left" w:pos="567"/>
        </w:tabs>
        <w:ind w:left="567" w:hanging="567"/>
      </w:pPr>
      <w:rPr>
        <w:rFonts w:hint="eastAsia"/>
      </w:rPr>
    </w:lvl>
    <w:lvl w:ilvl="2" w:tentative="0">
      <w:start w:val="1"/>
      <w:numFmt w:val="decimal"/>
      <w:pStyle w:val="5"/>
      <w:lvlText w:val="%2.%3"/>
      <w:lvlJc w:val="left"/>
      <w:pPr>
        <w:tabs>
          <w:tab w:val="left" w:pos="720"/>
        </w:tabs>
        <w:ind w:left="720" w:hanging="720"/>
      </w:pPr>
      <w:rPr>
        <w:rFonts w:hint="default" w:ascii="Times New Roman" w:hAnsi="Times New Roman" w:cs="Times New Roman"/>
      </w:rPr>
    </w:lvl>
    <w:lvl w:ilvl="3" w:tentative="0">
      <w:start w:val="1"/>
      <w:numFmt w:val="decimal"/>
      <w:pStyle w:val="6"/>
      <w:lvlText w:val="%2.%3.%4"/>
      <w:lvlJc w:val="left"/>
      <w:pPr>
        <w:tabs>
          <w:tab w:val="left" w:pos="1287"/>
        </w:tabs>
        <w:ind w:left="1287" w:hanging="720"/>
      </w:pPr>
      <w:rPr>
        <w:rFonts w:hint="eastAsia"/>
      </w:rPr>
    </w:lvl>
    <w:lvl w:ilvl="4" w:tentative="0">
      <w:start w:val="1"/>
      <w:numFmt w:val="decimal"/>
      <w:pStyle w:val="7"/>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ZTJkYjY4MDRkZTM5NjIzYmFlZjc1NmM2NmJmYzQifQ=="/>
  </w:docVars>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E57E92"/>
    <w:rsid w:val="040449B4"/>
    <w:rsid w:val="04603E27"/>
    <w:rsid w:val="048D730D"/>
    <w:rsid w:val="04A04307"/>
    <w:rsid w:val="04B25E79"/>
    <w:rsid w:val="04D127FE"/>
    <w:rsid w:val="04E97827"/>
    <w:rsid w:val="05541C54"/>
    <w:rsid w:val="055A3260"/>
    <w:rsid w:val="06033E66"/>
    <w:rsid w:val="07256CFE"/>
    <w:rsid w:val="0769378A"/>
    <w:rsid w:val="083F4FA4"/>
    <w:rsid w:val="08597654"/>
    <w:rsid w:val="08E60555"/>
    <w:rsid w:val="09AB5E02"/>
    <w:rsid w:val="09F4565E"/>
    <w:rsid w:val="09F67F85"/>
    <w:rsid w:val="0A4759EB"/>
    <w:rsid w:val="0C1D249A"/>
    <w:rsid w:val="0E1A10EE"/>
    <w:rsid w:val="0E830D7D"/>
    <w:rsid w:val="0EDF6A37"/>
    <w:rsid w:val="0F345506"/>
    <w:rsid w:val="100A6F70"/>
    <w:rsid w:val="113A2ED9"/>
    <w:rsid w:val="11A54A50"/>
    <w:rsid w:val="12905590"/>
    <w:rsid w:val="12B3383D"/>
    <w:rsid w:val="14923051"/>
    <w:rsid w:val="15DC0CFF"/>
    <w:rsid w:val="16662C9A"/>
    <w:rsid w:val="17E749F4"/>
    <w:rsid w:val="18173103"/>
    <w:rsid w:val="199A7D2F"/>
    <w:rsid w:val="19C958B7"/>
    <w:rsid w:val="19ED04F1"/>
    <w:rsid w:val="1B91415D"/>
    <w:rsid w:val="1C6349A3"/>
    <w:rsid w:val="1CAB7481"/>
    <w:rsid w:val="1CC55FA0"/>
    <w:rsid w:val="1CE568DC"/>
    <w:rsid w:val="1CE60755"/>
    <w:rsid w:val="1E8F0EA6"/>
    <w:rsid w:val="1EDF6194"/>
    <w:rsid w:val="1F412432"/>
    <w:rsid w:val="1FFD097B"/>
    <w:rsid w:val="21E16551"/>
    <w:rsid w:val="22340AF1"/>
    <w:rsid w:val="22407E00"/>
    <w:rsid w:val="23053713"/>
    <w:rsid w:val="23926914"/>
    <w:rsid w:val="23E4633C"/>
    <w:rsid w:val="23FF0527"/>
    <w:rsid w:val="24CD53AF"/>
    <w:rsid w:val="24D40764"/>
    <w:rsid w:val="24E65990"/>
    <w:rsid w:val="25A400FF"/>
    <w:rsid w:val="25EA5EF6"/>
    <w:rsid w:val="261E3532"/>
    <w:rsid w:val="280312A6"/>
    <w:rsid w:val="287D78ED"/>
    <w:rsid w:val="290E77FC"/>
    <w:rsid w:val="29973FDA"/>
    <w:rsid w:val="2B9A7DAE"/>
    <w:rsid w:val="2C2B48BE"/>
    <w:rsid w:val="2CD237A3"/>
    <w:rsid w:val="2D022791"/>
    <w:rsid w:val="2D1B2BCF"/>
    <w:rsid w:val="2D2C5AB7"/>
    <w:rsid w:val="2D556E85"/>
    <w:rsid w:val="2D984466"/>
    <w:rsid w:val="2DF10D15"/>
    <w:rsid w:val="2E3B1CC6"/>
    <w:rsid w:val="2E781959"/>
    <w:rsid w:val="2E7A3577"/>
    <w:rsid w:val="2ECE240D"/>
    <w:rsid w:val="2FAD1813"/>
    <w:rsid w:val="313F233C"/>
    <w:rsid w:val="32D50F12"/>
    <w:rsid w:val="34150141"/>
    <w:rsid w:val="351615F2"/>
    <w:rsid w:val="366A7A95"/>
    <w:rsid w:val="36FA3B96"/>
    <w:rsid w:val="372B08DD"/>
    <w:rsid w:val="37346038"/>
    <w:rsid w:val="375A492F"/>
    <w:rsid w:val="38CA3A27"/>
    <w:rsid w:val="396607FF"/>
    <w:rsid w:val="39BF6C4E"/>
    <w:rsid w:val="3A9445C9"/>
    <w:rsid w:val="3AE27DEB"/>
    <w:rsid w:val="3BAB5D90"/>
    <w:rsid w:val="3EC165C1"/>
    <w:rsid w:val="3F300537"/>
    <w:rsid w:val="3F4868BD"/>
    <w:rsid w:val="3F787261"/>
    <w:rsid w:val="3F84554C"/>
    <w:rsid w:val="401C3FA7"/>
    <w:rsid w:val="403509B9"/>
    <w:rsid w:val="40C51BFE"/>
    <w:rsid w:val="425035C8"/>
    <w:rsid w:val="425C5113"/>
    <w:rsid w:val="42E1587C"/>
    <w:rsid w:val="439457DA"/>
    <w:rsid w:val="43BF78DC"/>
    <w:rsid w:val="44542E74"/>
    <w:rsid w:val="44847599"/>
    <w:rsid w:val="45135A34"/>
    <w:rsid w:val="458325F7"/>
    <w:rsid w:val="462A4963"/>
    <w:rsid w:val="46C11F55"/>
    <w:rsid w:val="479B4E15"/>
    <w:rsid w:val="487E323B"/>
    <w:rsid w:val="4886327B"/>
    <w:rsid w:val="488E03B7"/>
    <w:rsid w:val="489E01F9"/>
    <w:rsid w:val="492B079D"/>
    <w:rsid w:val="492B62D1"/>
    <w:rsid w:val="4A5236B8"/>
    <w:rsid w:val="4AE923E7"/>
    <w:rsid w:val="4AF77CAF"/>
    <w:rsid w:val="4B5835DA"/>
    <w:rsid w:val="4B9B038A"/>
    <w:rsid w:val="4BE951BD"/>
    <w:rsid w:val="4FB17891"/>
    <w:rsid w:val="50F911EF"/>
    <w:rsid w:val="51DD4401"/>
    <w:rsid w:val="526017E3"/>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CF46D13"/>
    <w:rsid w:val="5D310964"/>
    <w:rsid w:val="5D4A59DB"/>
    <w:rsid w:val="5E264030"/>
    <w:rsid w:val="5E553FCC"/>
    <w:rsid w:val="5E8E627C"/>
    <w:rsid w:val="5F2A3FEC"/>
    <w:rsid w:val="607A59CB"/>
    <w:rsid w:val="61742145"/>
    <w:rsid w:val="617472C0"/>
    <w:rsid w:val="61903EFF"/>
    <w:rsid w:val="619F2C11"/>
    <w:rsid w:val="626B3B77"/>
    <w:rsid w:val="63024F53"/>
    <w:rsid w:val="63CF4B90"/>
    <w:rsid w:val="65330753"/>
    <w:rsid w:val="664E589F"/>
    <w:rsid w:val="67006728"/>
    <w:rsid w:val="68A034E3"/>
    <w:rsid w:val="6914498A"/>
    <w:rsid w:val="6AE03D68"/>
    <w:rsid w:val="6B082FB4"/>
    <w:rsid w:val="6CD402CD"/>
    <w:rsid w:val="6F38381C"/>
    <w:rsid w:val="6F9C46FB"/>
    <w:rsid w:val="6FFB1086"/>
    <w:rsid w:val="705C5AF8"/>
    <w:rsid w:val="70646001"/>
    <w:rsid w:val="718B547D"/>
    <w:rsid w:val="71DE07D3"/>
    <w:rsid w:val="726A54B2"/>
    <w:rsid w:val="727974EC"/>
    <w:rsid w:val="74FA5282"/>
    <w:rsid w:val="759879A5"/>
    <w:rsid w:val="76293CA6"/>
    <w:rsid w:val="76D30133"/>
    <w:rsid w:val="771536C7"/>
    <w:rsid w:val="790243D4"/>
    <w:rsid w:val="7C772BB9"/>
    <w:rsid w:val="7C7F5AE4"/>
    <w:rsid w:val="7D0241D1"/>
    <w:rsid w:val="7D6E69D8"/>
    <w:rsid w:val="7DE61B03"/>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3">
    <w:name w:val="heading 2"/>
    <w:basedOn w:val="1"/>
    <w:next w:val="4"/>
    <w:link w:val="33"/>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5">
    <w:name w:val="heading 3"/>
    <w:basedOn w:val="1"/>
    <w:next w:val="4"/>
    <w:link w:val="34"/>
    <w:qFormat/>
    <w:uiPriority w:val="0"/>
    <w:pPr>
      <w:numPr>
        <w:ilvl w:val="2"/>
        <w:numId w:val="1"/>
      </w:numPr>
      <w:spacing w:before="400" w:after="200" w:line="360" w:lineRule="auto"/>
      <w:outlineLvl w:val="2"/>
    </w:pPr>
    <w:rPr>
      <w:rFonts w:ascii="宋体" w:hAnsi="宋体"/>
      <w:b/>
      <w:kern w:val="0"/>
      <w:sz w:val="24"/>
      <w:szCs w:val="20"/>
    </w:rPr>
  </w:style>
  <w:style w:type="paragraph" w:styleId="6">
    <w:name w:val="heading 4"/>
    <w:basedOn w:val="1"/>
    <w:next w:val="4"/>
    <w:link w:val="35"/>
    <w:qFormat/>
    <w:uiPriority w:val="0"/>
    <w:pPr>
      <w:numPr>
        <w:ilvl w:val="3"/>
        <w:numId w:val="1"/>
      </w:numPr>
      <w:spacing w:beforeLines="50" w:after="60" w:line="360" w:lineRule="auto"/>
      <w:outlineLvl w:val="3"/>
    </w:pPr>
    <w:rPr>
      <w:rFonts w:ascii="Times New Roman" w:hAnsi="Times New Roman"/>
      <w:b/>
      <w:sz w:val="24"/>
      <w:szCs w:val="20"/>
    </w:rPr>
  </w:style>
  <w:style w:type="paragraph" w:styleId="7">
    <w:name w:val="heading 5"/>
    <w:basedOn w:val="1"/>
    <w:next w:val="4"/>
    <w:link w:val="37"/>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8">
    <w:name w:val="heading 6"/>
    <w:basedOn w:val="1"/>
    <w:next w:val="4"/>
    <w:link w:val="39"/>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9">
    <w:name w:val="heading 7"/>
    <w:basedOn w:val="1"/>
    <w:next w:val="4"/>
    <w:link w:val="40"/>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0">
    <w:name w:val="heading 8"/>
    <w:basedOn w:val="1"/>
    <w:next w:val="4"/>
    <w:link w:val="41"/>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1">
    <w:name w:val="heading 9"/>
    <w:basedOn w:val="1"/>
    <w:next w:val="1"/>
    <w:link w:val="42"/>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5">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spacing w:before="400" w:after="200"/>
      <w:ind w:left="567" w:firstLine="420" w:firstLineChars="200"/>
    </w:pPr>
    <w:rPr>
      <w:rFonts w:ascii="Times New Roman" w:hAnsi="Times New Roman"/>
    </w:rPr>
  </w:style>
  <w:style w:type="paragraph" w:styleId="12">
    <w:name w:val="caption"/>
    <w:basedOn w:val="1"/>
    <w:next w:val="1"/>
    <w:qFormat/>
    <w:uiPriority w:val="0"/>
    <w:pPr>
      <w:spacing w:before="152" w:after="160"/>
      <w:ind w:left="567" w:hanging="567"/>
    </w:pPr>
    <w:rPr>
      <w:rFonts w:ascii="Arial" w:hAnsi="Arial" w:eastAsia="黑体" w:cs="Arial"/>
      <w:sz w:val="20"/>
      <w:szCs w:val="20"/>
    </w:rPr>
  </w:style>
  <w:style w:type="paragraph" w:styleId="13">
    <w:name w:val="Document Map"/>
    <w:basedOn w:val="1"/>
    <w:link w:val="55"/>
    <w:unhideWhenUsed/>
    <w:qFormat/>
    <w:uiPriority w:val="99"/>
    <w:rPr>
      <w:rFonts w:ascii="宋体"/>
      <w:sz w:val="18"/>
      <w:szCs w:val="18"/>
    </w:rPr>
  </w:style>
  <w:style w:type="paragraph" w:styleId="14">
    <w:name w:val="Body Text"/>
    <w:basedOn w:val="1"/>
    <w:next w:val="15"/>
    <w:link w:val="60"/>
    <w:unhideWhenUsed/>
    <w:qFormat/>
    <w:uiPriority w:val="99"/>
    <w:pPr>
      <w:autoSpaceDE w:val="0"/>
      <w:autoSpaceDN w:val="0"/>
      <w:jc w:val="left"/>
    </w:pPr>
    <w:rPr>
      <w:rFonts w:ascii="宋体" w:hAnsi="宋体" w:cs="宋体"/>
      <w:kern w:val="0"/>
      <w:sz w:val="24"/>
    </w:rPr>
  </w:style>
  <w:style w:type="paragraph" w:styleId="15">
    <w:name w:val="List Bullet 5"/>
    <w:basedOn w:val="1"/>
    <w:unhideWhenUsed/>
    <w:qFormat/>
    <w:uiPriority w:val="99"/>
    <w:pPr>
      <w:numPr>
        <w:ilvl w:val="0"/>
        <w:numId w:val="2"/>
      </w:numPr>
    </w:pPr>
  </w:style>
  <w:style w:type="paragraph" w:styleId="16">
    <w:name w:val="Body Text Indent"/>
    <w:basedOn w:val="1"/>
    <w:qFormat/>
    <w:uiPriority w:val="0"/>
    <w:pPr>
      <w:ind w:firstLine="480"/>
    </w:pPr>
    <w:rPr>
      <w:sz w:val="24"/>
    </w:rPr>
  </w:style>
  <w:style w:type="paragraph" w:styleId="17">
    <w:name w:val="toc 5"/>
    <w:basedOn w:val="1"/>
    <w:next w:val="1"/>
    <w:qFormat/>
    <w:uiPriority w:val="0"/>
    <w:pPr>
      <w:ind w:left="1680" w:leftChars="800"/>
    </w:pPr>
  </w:style>
  <w:style w:type="paragraph" w:styleId="18">
    <w:name w:val="Balloon Text"/>
    <w:basedOn w:val="1"/>
    <w:link w:val="56"/>
    <w:unhideWhenUsed/>
    <w:qFormat/>
    <w:uiPriority w:val="99"/>
    <w:rPr>
      <w:sz w:val="18"/>
      <w:szCs w:val="18"/>
    </w:rPr>
  </w:style>
  <w:style w:type="paragraph" w:styleId="19">
    <w:name w:val="footer"/>
    <w:basedOn w:val="1"/>
    <w:link w:val="49"/>
    <w:qFormat/>
    <w:uiPriority w:val="0"/>
    <w:pPr>
      <w:tabs>
        <w:tab w:val="center" w:pos="4153"/>
        <w:tab w:val="right" w:pos="8306"/>
      </w:tabs>
      <w:snapToGrid w:val="0"/>
      <w:jc w:val="left"/>
    </w:pPr>
    <w:rPr>
      <w:sz w:val="18"/>
      <w:szCs w:val="18"/>
    </w:rPr>
  </w:style>
  <w:style w:type="paragraph" w:styleId="20">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link w:val="44"/>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2">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3">
    <w:name w:val="Title"/>
    <w:basedOn w:val="1"/>
    <w:link w:val="43"/>
    <w:qFormat/>
    <w:uiPriority w:val="0"/>
    <w:pPr>
      <w:spacing w:before="240" w:after="60"/>
      <w:ind w:left="567" w:hanging="567"/>
      <w:jc w:val="center"/>
      <w:outlineLvl w:val="0"/>
    </w:pPr>
    <w:rPr>
      <w:rFonts w:ascii="Arial" w:hAnsi="Arial" w:cs="Arial"/>
      <w:b/>
      <w:bCs/>
      <w:sz w:val="32"/>
      <w:szCs w:val="32"/>
    </w:rPr>
  </w:style>
  <w:style w:type="character" w:styleId="26">
    <w:name w:val="Strong"/>
    <w:qFormat/>
    <w:uiPriority w:val="0"/>
    <w:rPr>
      <w:b/>
      <w:bCs/>
    </w:rPr>
  </w:style>
  <w:style w:type="character" w:styleId="27">
    <w:name w:val="page number"/>
    <w:qFormat/>
    <w:uiPriority w:val="0"/>
  </w:style>
  <w:style w:type="character" w:styleId="28">
    <w:name w:val="Emphasis"/>
    <w:qFormat/>
    <w:uiPriority w:val="0"/>
    <w:rPr>
      <w:i/>
      <w:iCs/>
    </w:rPr>
  </w:style>
  <w:style w:type="paragraph" w:customStyle="1" w:styleId="29">
    <w:name w:val="Default"/>
    <w:basedOn w:val="30"/>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纯文本1"/>
    <w:basedOn w:val="1"/>
    <w:qFormat/>
    <w:uiPriority w:val="0"/>
    <w:rPr>
      <w:rFonts w:ascii="宋体" w:hAnsi="Courier New"/>
    </w:rPr>
  </w:style>
  <w:style w:type="paragraph" w:customStyle="1" w:styleId="31">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2">
    <w:name w:val="标题 1 Char"/>
    <w:basedOn w:val="25"/>
    <w:link w:val="2"/>
    <w:qFormat/>
    <w:uiPriority w:val="0"/>
    <w:rPr>
      <w:b/>
      <w:kern w:val="44"/>
      <w:sz w:val="32"/>
    </w:rPr>
  </w:style>
  <w:style w:type="character" w:customStyle="1" w:styleId="33">
    <w:name w:val="标题 2 Char"/>
    <w:basedOn w:val="25"/>
    <w:link w:val="3"/>
    <w:qFormat/>
    <w:uiPriority w:val="0"/>
    <w:rPr>
      <w:b/>
      <w:kern w:val="2"/>
      <w:sz w:val="32"/>
    </w:rPr>
  </w:style>
  <w:style w:type="character" w:customStyle="1" w:styleId="34">
    <w:name w:val="标题 3 Char"/>
    <w:basedOn w:val="25"/>
    <w:link w:val="5"/>
    <w:qFormat/>
    <w:uiPriority w:val="0"/>
    <w:rPr>
      <w:rFonts w:ascii="宋体" w:hAnsi="宋体"/>
      <w:b/>
      <w:sz w:val="24"/>
    </w:rPr>
  </w:style>
  <w:style w:type="character" w:customStyle="1" w:styleId="35">
    <w:name w:val="标题 4 Char"/>
    <w:basedOn w:val="25"/>
    <w:link w:val="6"/>
    <w:qFormat/>
    <w:uiPriority w:val="0"/>
    <w:rPr>
      <w:b/>
      <w:kern w:val="2"/>
      <w:sz w:val="24"/>
    </w:rPr>
  </w:style>
  <w:style w:type="character" w:customStyle="1" w:styleId="36">
    <w:name w:val="标题 4 Char2"/>
    <w:qFormat/>
    <w:uiPriority w:val="0"/>
    <w:rPr>
      <w:rFonts w:eastAsia="宋体"/>
      <w:b/>
      <w:kern w:val="2"/>
      <w:sz w:val="24"/>
      <w:lang w:val="en-US" w:eastAsia="zh-CN" w:bidi="ar-SA"/>
    </w:rPr>
  </w:style>
  <w:style w:type="character" w:customStyle="1" w:styleId="37">
    <w:name w:val="标题 5 Char"/>
    <w:basedOn w:val="25"/>
    <w:link w:val="7"/>
    <w:qFormat/>
    <w:uiPriority w:val="0"/>
    <w:rPr>
      <w:b/>
      <w:kern w:val="2"/>
      <w:sz w:val="24"/>
    </w:rPr>
  </w:style>
  <w:style w:type="character" w:customStyle="1" w:styleId="38">
    <w:name w:val="标题 5 Char2"/>
    <w:qFormat/>
    <w:uiPriority w:val="0"/>
    <w:rPr>
      <w:rFonts w:eastAsia="宋体"/>
      <w:b/>
      <w:kern w:val="2"/>
      <w:sz w:val="24"/>
      <w:lang w:val="en-US" w:eastAsia="zh-CN" w:bidi="ar-SA"/>
    </w:rPr>
  </w:style>
  <w:style w:type="character" w:customStyle="1" w:styleId="39">
    <w:name w:val="标题 6 Char"/>
    <w:basedOn w:val="25"/>
    <w:link w:val="8"/>
    <w:qFormat/>
    <w:uiPriority w:val="0"/>
    <w:rPr>
      <w:rFonts w:ascii="宋体"/>
      <w:kern w:val="2"/>
      <w:sz w:val="24"/>
    </w:rPr>
  </w:style>
  <w:style w:type="character" w:customStyle="1" w:styleId="40">
    <w:name w:val="标题 7 Char"/>
    <w:basedOn w:val="25"/>
    <w:link w:val="9"/>
    <w:qFormat/>
    <w:uiPriority w:val="0"/>
    <w:rPr>
      <w:color w:val="008000"/>
      <w:kern w:val="2"/>
      <w:sz w:val="28"/>
    </w:rPr>
  </w:style>
  <w:style w:type="character" w:customStyle="1" w:styleId="41">
    <w:name w:val="标题 8 Char"/>
    <w:basedOn w:val="25"/>
    <w:link w:val="10"/>
    <w:qFormat/>
    <w:uiPriority w:val="0"/>
    <w:rPr>
      <w:color w:val="008000"/>
      <w:kern w:val="2"/>
      <w:sz w:val="28"/>
    </w:rPr>
  </w:style>
  <w:style w:type="character" w:customStyle="1" w:styleId="42">
    <w:name w:val="标题 9 Char"/>
    <w:basedOn w:val="25"/>
    <w:link w:val="11"/>
    <w:qFormat/>
    <w:uiPriority w:val="0"/>
    <w:rPr>
      <w:rFonts w:ascii="Arial" w:hAnsi="Arial" w:eastAsia="黑体"/>
      <w:sz w:val="24"/>
    </w:rPr>
  </w:style>
  <w:style w:type="character" w:customStyle="1" w:styleId="43">
    <w:name w:val="标题 Char"/>
    <w:basedOn w:val="25"/>
    <w:link w:val="23"/>
    <w:qFormat/>
    <w:uiPriority w:val="0"/>
    <w:rPr>
      <w:rFonts w:ascii="Arial" w:hAnsi="Arial" w:cs="Arial"/>
      <w:b/>
      <w:bCs/>
      <w:kern w:val="2"/>
      <w:sz w:val="32"/>
      <w:szCs w:val="32"/>
    </w:rPr>
  </w:style>
  <w:style w:type="character" w:customStyle="1" w:styleId="44">
    <w:name w:val="副标题 Char"/>
    <w:basedOn w:val="25"/>
    <w:link w:val="21"/>
    <w:qFormat/>
    <w:uiPriority w:val="0"/>
    <w:rPr>
      <w:rFonts w:ascii="Arial" w:hAnsi="Arial" w:cs="Arial"/>
      <w:b/>
      <w:bCs/>
      <w:kern w:val="28"/>
      <w:sz w:val="32"/>
      <w:szCs w:val="32"/>
    </w:rPr>
  </w:style>
  <w:style w:type="paragraph" w:customStyle="1" w:styleId="45">
    <w:name w:val="列表段落1"/>
    <w:basedOn w:val="1"/>
    <w:qFormat/>
    <w:uiPriority w:val="0"/>
    <w:pPr>
      <w:spacing w:before="400" w:after="200"/>
      <w:ind w:left="567" w:firstLine="420" w:firstLineChars="200"/>
    </w:pPr>
    <w:rPr>
      <w:rFonts w:ascii="Times New Roman" w:hAnsi="Times New Roman"/>
    </w:rPr>
  </w:style>
  <w:style w:type="paragraph" w:customStyle="1" w:styleId="46">
    <w:name w:val="君邦正文"/>
    <w:link w:val="47"/>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7">
    <w:name w:val="君邦正文 Char2"/>
    <w:link w:val="46"/>
    <w:qFormat/>
    <w:uiPriority w:val="0"/>
    <w:rPr>
      <w:bCs/>
      <w:snapToGrid w:val="0"/>
      <w:sz w:val="24"/>
    </w:rPr>
  </w:style>
  <w:style w:type="character" w:customStyle="1" w:styleId="48">
    <w:name w:val="页眉 Char"/>
    <w:basedOn w:val="25"/>
    <w:link w:val="20"/>
    <w:qFormat/>
    <w:uiPriority w:val="0"/>
    <w:rPr>
      <w:rFonts w:ascii="Calibri" w:hAnsi="Calibri"/>
      <w:kern w:val="2"/>
      <w:sz w:val="18"/>
      <w:szCs w:val="18"/>
    </w:rPr>
  </w:style>
  <w:style w:type="character" w:customStyle="1" w:styleId="49">
    <w:name w:val="页脚 Char"/>
    <w:basedOn w:val="25"/>
    <w:link w:val="19"/>
    <w:qFormat/>
    <w:uiPriority w:val="0"/>
    <w:rPr>
      <w:rFonts w:ascii="Calibri" w:hAnsi="Calibri"/>
      <w:kern w:val="2"/>
      <w:sz w:val="18"/>
      <w:szCs w:val="18"/>
    </w:rPr>
  </w:style>
  <w:style w:type="paragraph" w:customStyle="1" w:styleId="50">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1">
    <w:name w:val="表内字体"/>
    <w:basedOn w:val="1"/>
    <w:next w:val="46"/>
    <w:link w:val="52"/>
    <w:qFormat/>
    <w:uiPriority w:val="0"/>
    <w:pPr>
      <w:adjustRightInd w:val="0"/>
      <w:snapToGrid w:val="0"/>
      <w:jc w:val="center"/>
      <w:textAlignment w:val="baseline"/>
    </w:pPr>
    <w:rPr>
      <w:rFonts w:ascii="Times New Roman" w:hAnsi="Times New Roman"/>
      <w:kern w:val="0"/>
      <w:sz w:val="18"/>
      <w:szCs w:val="18"/>
    </w:rPr>
  </w:style>
  <w:style w:type="character" w:customStyle="1" w:styleId="52">
    <w:name w:val="表内字体 Char"/>
    <w:link w:val="51"/>
    <w:qFormat/>
    <w:locked/>
    <w:uiPriority w:val="0"/>
    <w:rPr>
      <w:sz w:val="18"/>
      <w:szCs w:val="18"/>
    </w:rPr>
  </w:style>
  <w:style w:type="character" w:customStyle="1" w:styleId="53">
    <w:name w:val="表内格式 Char1"/>
    <w:link w:val="54"/>
    <w:qFormat/>
    <w:locked/>
    <w:uiPriority w:val="0"/>
    <w:rPr>
      <w:kern w:val="2"/>
      <w:sz w:val="18"/>
    </w:rPr>
  </w:style>
  <w:style w:type="paragraph" w:customStyle="1" w:styleId="54">
    <w:name w:val="表内格式"/>
    <w:basedOn w:val="1"/>
    <w:link w:val="53"/>
    <w:qFormat/>
    <w:uiPriority w:val="0"/>
    <w:pPr>
      <w:jc w:val="center"/>
    </w:pPr>
    <w:rPr>
      <w:rFonts w:ascii="Times New Roman" w:hAnsi="Times New Roman"/>
      <w:sz w:val="18"/>
      <w:szCs w:val="20"/>
    </w:rPr>
  </w:style>
  <w:style w:type="character" w:customStyle="1" w:styleId="55">
    <w:name w:val="文档结构图 Char"/>
    <w:basedOn w:val="25"/>
    <w:link w:val="13"/>
    <w:semiHidden/>
    <w:qFormat/>
    <w:uiPriority w:val="99"/>
    <w:rPr>
      <w:rFonts w:ascii="宋体" w:hAnsi="Calibri"/>
      <w:kern w:val="2"/>
      <w:sz w:val="18"/>
      <w:szCs w:val="18"/>
    </w:rPr>
  </w:style>
  <w:style w:type="character" w:customStyle="1" w:styleId="56">
    <w:name w:val="批注框文本 Char"/>
    <w:basedOn w:val="25"/>
    <w:link w:val="18"/>
    <w:semiHidden/>
    <w:qFormat/>
    <w:uiPriority w:val="99"/>
    <w:rPr>
      <w:rFonts w:ascii="Calibri" w:hAnsi="Calibri"/>
      <w:kern w:val="2"/>
      <w:sz w:val="18"/>
      <w:szCs w:val="18"/>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59">
    <w:name w:val="正文2"/>
    <w:qFormat/>
    <w:uiPriority w:val="0"/>
    <w:pPr>
      <w:jc w:val="both"/>
    </w:pPr>
    <w:rPr>
      <w:rFonts w:ascii="Calibri" w:hAnsi="Calibri" w:eastAsia="宋体" w:cs="Calibri"/>
      <w:kern w:val="2"/>
      <w:sz w:val="21"/>
      <w:szCs w:val="21"/>
      <w:lang w:val="en-US" w:eastAsia="zh-CN" w:bidi="ar-SA"/>
    </w:rPr>
  </w:style>
  <w:style w:type="character" w:customStyle="1" w:styleId="60">
    <w:name w:val="正文文本 Char"/>
    <w:basedOn w:val="25"/>
    <w:link w:val="14"/>
    <w:qFormat/>
    <w:uiPriority w:val="99"/>
    <w:rPr>
      <w:rFonts w:ascii="宋体" w:hAnsi="宋体" w:cs="宋体"/>
      <w:sz w:val="24"/>
      <w:szCs w:val="24"/>
    </w:rPr>
  </w:style>
  <w:style w:type="paragraph" w:customStyle="1" w:styleId="61">
    <w:name w:val="Table Paragraph"/>
    <w:basedOn w:val="1"/>
    <w:qFormat/>
    <w:uiPriority w:val="0"/>
    <w:pPr>
      <w:autoSpaceDE w:val="0"/>
      <w:autoSpaceDN w:val="0"/>
      <w:jc w:val="center"/>
    </w:pPr>
    <w:rPr>
      <w:rFonts w:ascii="宋体" w:hAnsi="宋体" w:cs="宋体"/>
      <w:kern w:val="0"/>
      <w:sz w:val="22"/>
      <w:szCs w:val="22"/>
    </w:rPr>
  </w:style>
  <w:style w:type="paragraph" w:customStyle="1" w:styleId="62">
    <w:name w:val="1-正文"/>
    <w:basedOn w:val="1"/>
    <w:qFormat/>
    <w:uiPriority w:val="0"/>
    <w:pPr>
      <w:spacing w:after="60"/>
      <w:ind w:firstLine="200"/>
    </w:pPr>
  </w:style>
  <w:style w:type="paragraph" w:customStyle="1" w:styleId="63">
    <w:name w:val="正文小四"/>
    <w:basedOn w:val="1"/>
    <w:qFormat/>
    <w:uiPriority w:val="0"/>
    <w:pPr>
      <w:ind w:firstLine="200" w:firstLineChars="200"/>
    </w:pPr>
  </w:style>
  <w:style w:type="paragraph" w:customStyle="1" w:styleId="64">
    <w:name w:val="列出段落1"/>
    <w:basedOn w:val="1"/>
    <w:qFormat/>
    <w:uiPriority w:val="99"/>
    <w:pPr>
      <w:ind w:firstLine="420" w:firstLineChars="200"/>
    </w:pPr>
  </w:style>
  <w:style w:type="paragraph" w:customStyle="1" w:styleId="65">
    <w:name w:val="报告表正文"/>
    <w:basedOn w:val="1"/>
    <w:qFormat/>
    <w:uiPriority w:val="0"/>
    <w:pPr>
      <w:spacing w:line="480" w:lineRule="atLeast"/>
      <w:ind w:firstLine="960" w:firstLineChars="200"/>
    </w:pPr>
    <w:rPr>
      <w:rFonts w:hint="eastAsia"/>
      <w:sz w:val="24"/>
    </w:rPr>
  </w:style>
  <w:style w:type="paragraph" w:customStyle="1" w:styleId="66">
    <w:name w:val="正文样式"/>
    <w:basedOn w:val="1"/>
    <w:qFormat/>
    <w:uiPriority w:val="0"/>
    <w:pPr>
      <w:spacing w:line="360" w:lineRule="auto"/>
      <w:ind w:firstLine="480" w:firstLineChars="200"/>
    </w:pPr>
    <w:rPr>
      <w:rFonts w:ascii="Times New Roman" w:hAnsi="Times New Roman"/>
      <w:color w:val="000000"/>
      <w:kern w:val="0"/>
      <w:sz w:val="24"/>
      <w:szCs w:val="20"/>
    </w:rPr>
  </w:style>
  <w:style w:type="paragraph" w:customStyle="1" w:styleId="67">
    <w:name w:val="报告书正文"/>
    <w:basedOn w:val="1"/>
    <w:qFormat/>
    <w:uiPriority w:val="0"/>
    <w:pPr>
      <w:widowControl/>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1773</Words>
  <Characters>1851</Characters>
  <Lines>2</Lines>
  <Paragraphs>5</Paragraphs>
  <TotalTime>0</TotalTime>
  <ScaleCrop>false</ScaleCrop>
  <LinksUpToDate>false</LinksUpToDate>
  <CharactersWithSpaces>1862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花开富贵</cp:lastModifiedBy>
  <dcterms:modified xsi:type="dcterms:W3CDTF">2024-01-19T04:14:45Z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8155095CED064F81821F78F94D3B3534_13</vt:lpwstr>
  </property>
</Properties>
</file>