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bookmarkStart w:id="0" w:name="_GoBack"/>
      <w:r>
        <w:rPr>
          <w:rFonts w:hint="eastAsia"/>
          <w:b/>
          <w:bCs/>
          <w:sz w:val="36"/>
          <w:szCs w:val="36"/>
        </w:rPr>
        <w:t>新建生物质锅炉供热项目</w:t>
      </w:r>
      <w:bookmarkEnd w:id="0"/>
    </w:p>
    <w:p>
      <w:pPr>
        <w:jc w:val="center"/>
        <w:rPr>
          <w:b/>
          <w:bCs/>
          <w:sz w:val="36"/>
          <w:szCs w:val="36"/>
        </w:rPr>
      </w:pPr>
      <w:r>
        <w:rPr>
          <w:b/>
          <w:bCs/>
          <w:sz w:val="36"/>
          <w:szCs w:val="36"/>
        </w:rPr>
        <w:t>竣工环境保护验收意见</w:t>
      </w:r>
    </w:p>
    <w:p>
      <w:pPr>
        <w:ind w:firstLine="480" w:firstLineChars="200"/>
        <w:jc w:val="both"/>
      </w:pPr>
    </w:p>
    <w:p>
      <w:pPr>
        <w:ind w:firstLine="480" w:firstLineChars="200"/>
        <w:jc w:val="both"/>
        <w:rPr>
          <w:color w:val="000000"/>
        </w:rPr>
      </w:pPr>
      <w:r>
        <w:rPr>
          <w:rFonts w:hint="eastAsia"/>
          <w:color w:val="000000"/>
        </w:rPr>
        <w:t>2019年4月</w:t>
      </w:r>
      <w:r>
        <w:rPr>
          <w:rFonts w:hint="eastAsia"/>
        </w:rPr>
        <w:t>2</w:t>
      </w:r>
      <w:r>
        <w:rPr>
          <w:rFonts w:hint="eastAsia"/>
          <w:color w:val="000000"/>
        </w:rPr>
        <w:t>日，安陆佳禾能源有限公司根据新建生物质锅炉供热项目竣工环境保护验收监测报告并对照《建设项目竣工环境保护验收暂行办法》，严格依照国家有关法律法规、建设项目竣工环境保护验收技术规范指</w:t>
      </w:r>
      <w:r>
        <w:rPr>
          <w:color w:val="000000"/>
        </w:rPr>
        <w:t>南</w:t>
      </w:r>
      <w:r>
        <w:rPr>
          <w:rFonts w:hint="eastAsia"/>
          <w:color w:val="000000"/>
        </w:rPr>
        <w:t>、本项目环境影响报告书和审批部门审批决定等要求对本项目进行现场检查，提出意见如下：</w:t>
      </w:r>
    </w:p>
    <w:p>
      <w:pPr>
        <w:ind w:firstLine="482" w:firstLineChars="200"/>
        <w:jc w:val="both"/>
        <w:rPr>
          <w:b/>
          <w:bCs/>
        </w:rPr>
      </w:pPr>
      <w:r>
        <w:rPr>
          <w:rFonts w:hint="eastAsia"/>
          <w:b/>
          <w:bCs/>
        </w:rPr>
        <w:t>一、工程建设基本情况</w:t>
      </w:r>
    </w:p>
    <w:p>
      <w:pPr>
        <w:ind w:firstLine="480" w:firstLineChars="200"/>
        <w:jc w:val="both"/>
        <w:rPr>
          <w:color w:val="000000"/>
        </w:rPr>
      </w:pPr>
      <w:r>
        <w:rPr>
          <w:bCs/>
        </w:rPr>
        <w:t>项目位于</w:t>
      </w:r>
      <w:r>
        <w:rPr>
          <w:rFonts w:hint="eastAsia"/>
          <w:bCs/>
        </w:rPr>
        <w:t>安陆市</w:t>
      </w:r>
      <w:r>
        <w:rPr>
          <w:color w:val="000000"/>
          <w:szCs w:val="20"/>
        </w:rPr>
        <w:t>湖北德安府糖业有限公司厂区内</w:t>
      </w:r>
      <w:r>
        <w:rPr>
          <w:bCs/>
        </w:rPr>
        <w:t>，</w:t>
      </w:r>
      <w:r>
        <w:rPr>
          <w:rFonts w:hint="eastAsia"/>
          <w:bCs/>
        </w:rPr>
        <w:t>厂区</w:t>
      </w:r>
      <w:r>
        <w:rPr>
          <w:bCs/>
        </w:rPr>
        <w:t>东侧为</w:t>
      </w:r>
      <w:r>
        <w:rPr>
          <w:rFonts w:hint="eastAsia"/>
          <w:bCs/>
        </w:rPr>
        <w:t>涢水路</w:t>
      </w:r>
      <w:r>
        <w:rPr>
          <w:bCs/>
        </w:rPr>
        <w:t>；南侧为安陆市恒顺汽车维修中心；西侧为湖北禾丰粮油集团；北侧为德安新型建筑材料公司。</w:t>
      </w:r>
      <w:r>
        <w:rPr>
          <w:rFonts w:hint="eastAsia"/>
          <w:bCs/>
        </w:rPr>
        <w:t>项目</w:t>
      </w:r>
      <w:r>
        <w:rPr>
          <w:rFonts w:hint="eastAsia"/>
          <w:szCs w:val="20"/>
        </w:rPr>
        <w:t>建设内容主要为锅炉房（800m</w:t>
      </w:r>
      <w:r>
        <w:rPr>
          <w:rFonts w:hint="eastAsia"/>
          <w:szCs w:val="20"/>
          <w:vertAlign w:val="superscript"/>
        </w:rPr>
        <w:t>2</w:t>
      </w:r>
      <w:r>
        <w:rPr>
          <w:rFonts w:hint="eastAsia"/>
          <w:szCs w:val="20"/>
        </w:rPr>
        <w:t>）、原料仓库（200m</w:t>
      </w:r>
      <w:r>
        <w:rPr>
          <w:rFonts w:hint="eastAsia"/>
          <w:szCs w:val="20"/>
          <w:vertAlign w:val="superscript"/>
        </w:rPr>
        <w:t>2</w:t>
      </w:r>
      <w:r>
        <w:rPr>
          <w:rFonts w:hint="eastAsia"/>
          <w:szCs w:val="20"/>
        </w:rPr>
        <w:t>）、配套公用设施、环保工程等</w:t>
      </w:r>
      <w:r>
        <w:rPr>
          <w:szCs w:val="20"/>
        </w:rPr>
        <w:t>。</w:t>
      </w:r>
      <w:r>
        <w:rPr>
          <w:rFonts w:hint="eastAsia"/>
          <w:color w:val="000000"/>
        </w:rPr>
        <w:t>项目建成后</w:t>
      </w:r>
      <w:r>
        <w:t>年产蒸汽8万吨</w:t>
      </w:r>
      <w:r>
        <w:rPr>
          <w:rFonts w:hint="eastAsia"/>
        </w:rPr>
        <w:t>。</w:t>
      </w:r>
    </w:p>
    <w:p>
      <w:pPr>
        <w:ind w:firstLine="482" w:firstLineChars="200"/>
        <w:jc w:val="both"/>
        <w:rPr>
          <w:b/>
          <w:bCs/>
        </w:rPr>
      </w:pPr>
      <w:r>
        <w:rPr>
          <w:rFonts w:hint="eastAsia"/>
          <w:b/>
          <w:bCs/>
        </w:rPr>
        <w:t>2、建设过程及环保审批情况</w:t>
      </w:r>
    </w:p>
    <w:p>
      <w:pPr>
        <w:adjustRightInd w:val="0"/>
        <w:snapToGrid w:val="0"/>
        <w:ind w:firstLine="480" w:firstLineChars="200"/>
        <w:rPr>
          <w:color w:val="000000"/>
        </w:rPr>
      </w:pPr>
      <w:r>
        <w:rPr>
          <w:rFonts w:hint="eastAsia"/>
          <w:color w:val="000000"/>
        </w:rPr>
        <w:t>2018年4月</w:t>
      </w:r>
      <w:r>
        <w:rPr>
          <w:color w:val="000000"/>
          <w:szCs w:val="20"/>
        </w:rPr>
        <w:t>安陆佳禾能源有限公司委托江苏科易达环保科技有限公司进行《安陆佳禾能源有限公司新建生物质锅炉供热项目环境影响报告表》的编制工作</w:t>
      </w:r>
      <w:r>
        <w:rPr>
          <w:rFonts w:hint="eastAsia"/>
          <w:color w:val="000000"/>
          <w:szCs w:val="20"/>
        </w:rPr>
        <w:t>。2018年10月25号，安陆市环境保护局以安环建函[2018]67号</w:t>
      </w:r>
      <w:r>
        <w:t>文批复了该项目环境影响报告表</w:t>
      </w:r>
      <w:r>
        <w:rPr>
          <w:color w:val="000000"/>
        </w:rPr>
        <w:t>。</w:t>
      </w:r>
      <w:r>
        <w:rPr>
          <w:bCs/>
          <w:snapToGrid w:val="0"/>
          <w:kern w:val="0"/>
        </w:rPr>
        <w:t>项目于201</w:t>
      </w:r>
      <w:r>
        <w:rPr>
          <w:rFonts w:hint="eastAsia"/>
          <w:bCs/>
          <w:snapToGrid w:val="0"/>
          <w:kern w:val="0"/>
        </w:rPr>
        <w:t>8</w:t>
      </w:r>
      <w:r>
        <w:rPr>
          <w:bCs/>
          <w:snapToGrid w:val="0"/>
          <w:kern w:val="0"/>
        </w:rPr>
        <w:t>年1</w:t>
      </w:r>
      <w:r>
        <w:rPr>
          <w:rFonts w:hint="eastAsia"/>
          <w:bCs/>
          <w:snapToGrid w:val="0"/>
          <w:kern w:val="0"/>
        </w:rPr>
        <w:t>0</w:t>
      </w:r>
      <w:r>
        <w:rPr>
          <w:bCs/>
          <w:snapToGrid w:val="0"/>
          <w:kern w:val="0"/>
        </w:rPr>
        <w:t>月开工建设，201</w:t>
      </w:r>
      <w:r>
        <w:rPr>
          <w:rFonts w:hint="eastAsia"/>
          <w:bCs/>
          <w:snapToGrid w:val="0"/>
          <w:kern w:val="0"/>
        </w:rPr>
        <w:t>8</w:t>
      </w:r>
      <w:r>
        <w:rPr>
          <w:bCs/>
          <w:snapToGrid w:val="0"/>
          <w:kern w:val="0"/>
        </w:rPr>
        <w:t>年</w:t>
      </w:r>
      <w:r>
        <w:rPr>
          <w:rFonts w:hint="eastAsia"/>
          <w:bCs/>
          <w:snapToGrid w:val="0"/>
          <w:kern w:val="0"/>
        </w:rPr>
        <w:t>12</w:t>
      </w:r>
      <w:r>
        <w:rPr>
          <w:bCs/>
          <w:snapToGrid w:val="0"/>
          <w:kern w:val="0"/>
        </w:rPr>
        <w:t>月建设完成进入调试阶段。</w:t>
      </w:r>
    </w:p>
    <w:p>
      <w:pPr>
        <w:ind w:firstLine="482" w:firstLineChars="200"/>
        <w:jc w:val="both"/>
        <w:rPr>
          <w:b/>
          <w:bCs/>
        </w:rPr>
      </w:pPr>
      <w:r>
        <w:rPr>
          <w:rFonts w:hint="eastAsia"/>
          <w:b/>
          <w:bCs/>
        </w:rPr>
        <w:t>3、投资情况</w:t>
      </w:r>
    </w:p>
    <w:p>
      <w:pPr>
        <w:adjustRightInd w:val="0"/>
        <w:snapToGrid w:val="0"/>
        <w:ind w:firstLine="480" w:firstLineChars="200"/>
      </w:pPr>
      <w:r>
        <w:t>项目实际总投资</w:t>
      </w:r>
      <w:r>
        <w:rPr>
          <w:rFonts w:hint="eastAsia"/>
        </w:rPr>
        <w:t>500</w:t>
      </w:r>
      <w:r>
        <w:t>万元，其中环保总投资</w:t>
      </w:r>
      <w:r>
        <w:rPr>
          <w:rFonts w:hint="eastAsia"/>
        </w:rPr>
        <w:t>25.5</w:t>
      </w:r>
      <w:r>
        <w:t>万元，占总投资的</w:t>
      </w:r>
      <w:r>
        <w:rPr>
          <w:rFonts w:hint="eastAsia"/>
        </w:rPr>
        <w:t>5.1</w:t>
      </w:r>
      <w:r>
        <w:t>%。</w:t>
      </w:r>
    </w:p>
    <w:p>
      <w:pPr>
        <w:ind w:firstLine="482" w:firstLineChars="200"/>
        <w:jc w:val="both"/>
        <w:rPr>
          <w:b/>
          <w:bCs/>
        </w:rPr>
      </w:pPr>
      <w:r>
        <w:rPr>
          <w:rFonts w:hint="eastAsia"/>
          <w:b/>
          <w:bCs/>
        </w:rPr>
        <w:t>4、项目变更情况</w:t>
      </w:r>
    </w:p>
    <w:p>
      <w:pPr>
        <w:pStyle w:val="2"/>
        <w:jc w:val="left"/>
        <w:rPr>
          <w:rFonts w:hint="eastAsia"/>
        </w:rPr>
      </w:pPr>
      <w:r>
        <w:rPr>
          <w:rFonts w:hint="eastAsia"/>
        </w:rPr>
        <w:t xml:space="preserve"> </w:t>
      </w:r>
      <w:r>
        <w:t xml:space="preserve">   </w:t>
      </w:r>
      <w:r>
        <w:rPr>
          <w:rFonts w:hint="eastAsia"/>
        </w:rPr>
        <w:t>原环评锅炉年工作时间为7</w:t>
      </w:r>
      <w:r>
        <w:t>000</w:t>
      </w:r>
      <w:r>
        <w:rPr>
          <w:rFonts w:hint="eastAsia"/>
        </w:rPr>
        <w:t>小时，实际每台锅炉年工作时间为4</w:t>
      </w:r>
      <w:r>
        <w:t>500</w:t>
      </w:r>
      <w:r>
        <w:rPr>
          <w:rFonts w:hint="eastAsia"/>
        </w:rPr>
        <w:t>小时。</w:t>
      </w:r>
    </w:p>
    <w:p>
      <w:pPr>
        <w:ind w:firstLine="482" w:firstLineChars="200"/>
        <w:jc w:val="both"/>
        <w:rPr>
          <w:b/>
          <w:bCs/>
        </w:rPr>
      </w:pPr>
      <w:r>
        <w:rPr>
          <w:rFonts w:hint="eastAsia"/>
          <w:b/>
          <w:bCs/>
        </w:rPr>
        <w:t>二、环境保护设施建设情况</w:t>
      </w:r>
    </w:p>
    <w:p>
      <w:pPr>
        <w:ind w:firstLine="482" w:firstLineChars="200"/>
        <w:jc w:val="both"/>
        <w:rPr>
          <w:b/>
          <w:bCs/>
        </w:rPr>
      </w:pPr>
      <w:r>
        <w:rPr>
          <w:rFonts w:hint="eastAsia"/>
          <w:b/>
          <w:bCs/>
        </w:rPr>
        <w:t>1、废水</w:t>
      </w:r>
    </w:p>
    <w:p>
      <w:pPr>
        <w:pStyle w:val="35"/>
        <w:adjustRightInd w:val="0"/>
        <w:snapToGrid w:val="0"/>
        <w:spacing w:after="0"/>
        <w:ind w:firstLine="480"/>
        <w:jc w:val="both"/>
      </w:pPr>
      <w:r>
        <w:rPr>
          <w:rFonts w:hint="eastAsia"/>
        </w:rPr>
        <w:t>锅炉软水制备产生的弃水和锅炉定期排水依托德安府糖业厂区的污水处理站处理后循环使用。办公生活污水依托德安府糖业厂区的化粪池处理后经市政管网进入安陆市污水处理厂，尾水排入府河。</w:t>
      </w:r>
    </w:p>
    <w:p>
      <w:pPr>
        <w:ind w:firstLine="482" w:firstLineChars="200"/>
        <w:jc w:val="both"/>
        <w:rPr>
          <w:b/>
          <w:bCs/>
        </w:rPr>
      </w:pPr>
      <w:r>
        <w:rPr>
          <w:rFonts w:hint="eastAsia"/>
          <w:b/>
          <w:bCs/>
        </w:rPr>
        <w:t>2、废气</w:t>
      </w:r>
    </w:p>
    <w:p>
      <w:pPr>
        <w:ind w:firstLine="480" w:firstLineChars="200"/>
        <w:jc w:val="both"/>
      </w:pPr>
      <w:r>
        <w:rPr>
          <w:rFonts w:hint="eastAsia"/>
        </w:rPr>
        <w:t>项目建设有两套多管+布袋除尘器分别对两台锅炉废进行处理，处理后的尾气一并进入一根40米排气筒排放。</w:t>
      </w:r>
    </w:p>
    <w:p>
      <w:pPr>
        <w:ind w:firstLine="482" w:firstLineChars="200"/>
        <w:jc w:val="both"/>
        <w:rPr>
          <w:b/>
          <w:bCs/>
        </w:rPr>
      </w:pPr>
      <w:r>
        <w:rPr>
          <w:b/>
          <w:bCs/>
        </w:rPr>
        <w:t>3</w:t>
      </w:r>
      <w:r>
        <w:rPr>
          <w:rFonts w:hint="eastAsia"/>
          <w:b/>
          <w:bCs/>
        </w:rPr>
        <w:t>、固体废物</w:t>
      </w:r>
    </w:p>
    <w:p>
      <w:pPr>
        <w:pStyle w:val="35"/>
        <w:adjustRightInd w:val="0"/>
        <w:snapToGrid w:val="0"/>
        <w:spacing w:after="0"/>
        <w:ind w:firstLine="480"/>
        <w:jc w:val="both"/>
      </w:pPr>
      <w:r>
        <w:rPr>
          <w:rFonts w:hint="eastAsia"/>
        </w:rPr>
        <w:t>办公生活垃圾设置垃圾桶收集，交由市政环卫部门处理；一般工业固体废物主要为锅炉产生的灰渣和除尘设施收集的粉尘，出售给潜江市环宇冶金材料有限公司；危险废物主要为锅炉软化水产生废弃离子交换树脂，委托宜昌桑德环保科技有限公司处置。项目建设有一间5m</w:t>
      </w:r>
      <w:r>
        <w:rPr>
          <w:rFonts w:hint="eastAsia"/>
          <w:vertAlign w:val="superscript"/>
        </w:rPr>
        <w:t>3</w:t>
      </w:r>
      <w:r>
        <w:rPr>
          <w:rFonts w:hint="eastAsia"/>
        </w:rPr>
        <w:t>危废间用于废弃离子交换树脂暂存。</w:t>
      </w:r>
    </w:p>
    <w:p>
      <w:pPr>
        <w:ind w:firstLine="482" w:firstLineChars="200"/>
        <w:jc w:val="both"/>
        <w:rPr>
          <w:b/>
          <w:bCs/>
        </w:rPr>
      </w:pPr>
      <w:r>
        <w:rPr>
          <w:b/>
          <w:bCs/>
        </w:rPr>
        <w:t>4</w:t>
      </w:r>
      <w:r>
        <w:rPr>
          <w:rFonts w:hint="eastAsia"/>
          <w:b/>
          <w:bCs/>
        </w:rPr>
        <w:t>、环境制度管理</w:t>
      </w:r>
    </w:p>
    <w:p>
      <w:pPr>
        <w:ind w:firstLine="480" w:firstLineChars="200"/>
        <w:jc w:val="both"/>
      </w:pPr>
      <w:r>
        <w:t>项目设立有</w:t>
      </w:r>
      <w:r>
        <w:rPr>
          <w:rFonts w:hint="eastAsia"/>
        </w:rPr>
        <w:t>兼职人员</w:t>
      </w:r>
      <w:r>
        <w:t>负责各类环境保护工作，建立有完善的环保档案，包括环评报告、环保工程验收报告、污染源监测报告、环保设备运行记录以及其它环境统计资料。</w:t>
      </w:r>
    </w:p>
    <w:p>
      <w:pPr>
        <w:jc w:val="both"/>
        <w:rPr>
          <w:b/>
          <w:bCs/>
        </w:rPr>
      </w:pPr>
      <w:r>
        <w:rPr>
          <w:rFonts w:hint="eastAsia"/>
          <w:b/>
          <w:bCs/>
        </w:rPr>
        <w:t>四、环境保护设施调试效果</w:t>
      </w:r>
    </w:p>
    <w:p>
      <w:pPr>
        <w:ind w:firstLine="482" w:firstLineChars="200"/>
        <w:jc w:val="both"/>
        <w:rPr>
          <w:b/>
          <w:bCs/>
        </w:rPr>
      </w:pPr>
      <w:r>
        <w:rPr>
          <w:rFonts w:hint="eastAsia"/>
          <w:b/>
          <w:bCs/>
        </w:rPr>
        <w:t>1、废水</w:t>
      </w:r>
    </w:p>
    <w:p>
      <w:pPr>
        <w:ind w:firstLine="480" w:firstLineChars="200"/>
        <w:jc w:val="both"/>
      </w:pPr>
      <w:r>
        <w:t>本次监测，</w:t>
      </w:r>
      <w:r>
        <w:rPr>
          <w:rFonts w:hint="eastAsia"/>
        </w:rPr>
        <w:t>生活</w:t>
      </w:r>
      <w:r>
        <w:t>废水中pH值范围为7.2</w:t>
      </w:r>
      <w:r>
        <w:rPr>
          <w:rFonts w:hint="eastAsia"/>
        </w:rPr>
        <w:t>4</w:t>
      </w:r>
      <w:r>
        <w:t>~7.3</w:t>
      </w:r>
      <w:r>
        <w:rPr>
          <w:rFonts w:hint="eastAsia"/>
        </w:rPr>
        <w:t>6</w:t>
      </w:r>
      <w:r>
        <w:t>、化学需氧量最大日均值为</w:t>
      </w:r>
      <w:r>
        <w:rPr>
          <w:rFonts w:hint="eastAsia"/>
        </w:rPr>
        <w:t>191</w:t>
      </w:r>
      <w:r>
        <w:t>mg/L、五日生化需氧量最大日均值为</w:t>
      </w:r>
      <w:r>
        <w:rPr>
          <w:rFonts w:hint="eastAsia"/>
        </w:rPr>
        <w:t>67.8</w:t>
      </w:r>
      <w:r>
        <w:t>mg/L、悬浮物最大日均值为</w:t>
      </w:r>
      <w:r>
        <w:rPr>
          <w:rFonts w:hint="eastAsia"/>
        </w:rPr>
        <w:t>55</w:t>
      </w:r>
      <w:r>
        <w:t>mg/L，监测结果均符合《污水综合排放标准》（GB 8978-1996）表4</w:t>
      </w:r>
      <w:r>
        <w:rPr>
          <w:rFonts w:hint="eastAsia"/>
        </w:rPr>
        <w:t>三</w:t>
      </w:r>
      <w:r>
        <w:t>级标准限值要求</w:t>
      </w:r>
      <w:r>
        <w:rPr>
          <w:rFonts w:hint="eastAsia"/>
        </w:rPr>
        <w:t>。</w:t>
      </w:r>
      <w:r>
        <w:t>氨氮最大日均值为</w:t>
      </w:r>
      <w:r>
        <w:rPr>
          <w:rFonts w:hint="eastAsia"/>
        </w:rPr>
        <w:t>0.678</w:t>
      </w:r>
      <w:r>
        <w:t>mg/</w:t>
      </w:r>
      <w:r>
        <w:rPr>
          <w:rFonts w:hint="eastAsia"/>
        </w:rPr>
        <w:t>L</w:t>
      </w:r>
      <w:r>
        <w:t>。</w:t>
      </w:r>
    </w:p>
    <w:p>
      <w:pPr>
        <w:ind w:firstLine="482" w:firstLineChars="200"/>
        <w:jc w:val="both"/>
        <w:rPr>
          <w:b/>
          <w:bCs/>
        </w:rPr>
      </w:pPr>
      <w:r>
        <w:rPr>
          <w:rFonts w:hint="eastAsia"/>
          <w:b/>
          <w:bCs/>
        </w:rPr>
        <w:t>2、废</w:t>
      </w:r>
      <w:r>
        <w:rPr>
          <w:b/>
          <w:bCs/>
        </w:rPr>
        <w:t>气</w:t>
      </w:r>
    </w:p>
    <w:p>
      <w:pPr>
        <w:pStyle w:val="2"/>
        <w:ind w:firstLine="482" w:firstLineChars="200"/>
        <w:jc w:val="both"/>
        <w:rPr>
          <w:b/>
          <w:color w:val="000000" w:themeColor="text1"/>
          <w14:textFill>
            <w14:solidFill>
              <w14:schemeClr w14:val="tx1"/>
            </w14:solidFill>
          </w14:textFill>
        </w:rPr>
      </w:pPr>
      <w:r>
        <w:rPr>
          <w:b/>
          <w:color w:val="000000" w:themeColor="text1"/>
          <w14:textFill>
            <w14:solidFill>
              <w14:schemeClr w14:val="tx1"/>
            </w14:solidFill>
          </w14:textFill>
        </w:rPr>
        <w:t>有组织废气</w:t>
      </w:r>
    </w:p>
    <w:p>
      <w:pPr>
        <w:tabs>
          <w:tab w:val="left" w:pos="2497"/>
        </w:tabs>
        <w:adjustRightInd w:val="0"/>
        <w:snapToGrid w:val="0"/>
        <w:ind w:firstLine="480" w:firstLineChars="200"/>
        <w:jc w:val="both"/>
      </w:pPr>
      <w:r>
        <w:t>本次监测，锅炉废气排气筒中颗粒物最大排放浓度为</w:t>
      </w:r>
      <w:r>
        <w:rPr>
          <w:rFonts w:hint="eastAsia"/>
        </w:rPr>
        <w:t>5.3</w:t>
      </w:r>
      <w:r>
        <w:rPr>
          <w:kern w:val="0"/>
        </w:rPr>
        <w:t>mg/m</w:t>
      </w:r>
      <w:r>
        <w:rPr>
          <w:kern w:val="0"/>
          <w:vertAlign w:val="superscript"/>
        </w:rPr>
        <w:t>3</w:t>
      </w:r>
      <w:r>
        <w:t>、排放速率为0.</w:t>
      </w:r>
      <w:r>
        <w:rPr>
          <w:rFonts w:hint="eastAsia"/>
        </w:rPr>
        <w:t>082</w:t>
      </w:r>
      <w:r>
        <w:rPr>
          <w:kern w:val="0"/>
        </w:rPr>
        <w:t>kg/h</w:t>
      </w:r>
      <w:r>
        <w:t>，二氧化硫最大排放浓度为</w:t>
      </w:r>
      <w:r>
        <w:rPr>
          <w:rFonts w:hint="eastAsia"/>
        </w:rPr>
        <w:t>12</w:t>
      </w:r>
      <w:r>
        <w:rPr>
          <w:kern w:val="0"/>
        </w:rPr>
        <w:t>mg/m</w:t>
      </w:r>
      <w:r>
        <w:rPr>
          <w:kern w:val="0"/>
          <w:vertAlign w:val="superscript"/>
        </w:rPr>
        <w:t>3</w:t>
      </w:r>
      <w:r>
        <w:t>、排放速率为0.</w:t>
      </w:r>
      <w:r>
        <w:rPr>
          <w:rFonts w:hint="eastAsia"/>
        </w:rPr>
        <w:t>18</w:t>
      </w:r>
      <w:r>
        <w:rPr>
          <w:kern w:val="0"/>
        </w:rPr>
        <w:t>kg/h</w:t>
      </w:r>
      <w:r>
        <w:t>，氮氧化物的最大排放浓度为</w:t>
      </w:r>
      <w:r>
        <w:rPr>
          <w:rFonts w:hint="eastAsia"/>
        </w:rPr>
        <w:t>162</w:t>
      </w:r>
      <w:r>
        <w:rPr>
          <w:kern w:val="0"/>
        </w:rPr>
        <w:t>mg/m</w:t>
      </w:r>
      <w:r>
        <w:rPr>
          <w:kern w:val="0"/>
          <w:vertAlign w:val="superscript"/>
        </w:rPr>
        <w:t>3</w:t>
      </w:r>
      <w:r>
        <w:t>、排放速率为</w:t>
      </w:r>
      <w:r>
        <w:rPr>
          <w:rFonts w:hint="eastAsia"/>
        </w:rPr>
        <w:t>2.5</w:t>
      </w:r>
      <w:r>
        <w:rPr>
          <w:kern w:val="0"/>
        </w:rPr>
        <w:t>kg/h</w:t>
      </w:r>
      <w:r>
        <w:t>，监测结果均符合《锅炉大气污染物排放标准》（GB 13271-2014）表</w:t>
      </w:r>
      <w:r>
        <w:rPr>
          <w:rFonts w:hint="eastAsia"/>
        </w:rPr>
        <w:t>2</w:t>
      </w:r>
      <w:r>
        <w:t>中标准限值要求。</w:t>
      </w:r>
    </w:p>
    <w:p>
      <w:pPr>
        <w:pStyle w:val="2"/>
        <w:ind w:firstLine="482" w:firstLineChars="200"/>
        <w:jc w:val="left"/>
        <w:rPr>
          <w:b/>
        </w:rPr>
      </w:pPr>
      <w:r>
        <w:rPr>
          <w:b/>
        </w:rPr>
        <w:t>无组织废气</w:t>
      </w:r>
    </w:p>
    <w:p>
      <w:pPr>
        <w:pStyle w:val="2"/>
        <w:ind w:firstLine="480"/>
        <w:jc w:val="left"/>
      </w:pPr>
      <w:r>
        <w:t>本次监测，无组织废气中</w:t>
      </w:r>
      <w:r>
        <w:rPr>
          <w:rFonts w:hint="eastAsia"/>
        </w:rPr>
        <w:t xml:space="preserve">颗粒物最大值0.545 </w:t>
      </w:r>
      <w:r>
        <w:t>mg/m</w:t>
      </w:r>
      <w:r>
        <w:rPr>
          <w:vertAlign w:val="superscript"/>
        </w:rPr>
        <w:t>3</w:t>
      </w:r>
      <w:r>
        <w:rPr>
          <w:rFonts w:hint="eastAsia"/>
        </w:rPr>
        <w:t>，</w:t>
      </w:r>
      <w:r>
        <w:t>符合《大气污染物综合排放标准》（GB 16297-1996）</w:t>
      </w:r>
      <w:r>
        <w:rPr>
          <w:rFonts w:hint="eastAsia"/>
        </w:rPr>
        <w:t>无组织监控浓度</w:t>
      </w:r>
      <w:r>
        <w:t>标准</w:t>
      </w:r>
      <w:r>
        <w:rPr>
          <w:rFonts w:hint="eastAsia"/>
        </w:rPr>
        <w:t>限值</w:t>
      </w:r>
      <w:r>
        <w:rPr>
          <w:rFonts w:hint="eastAsia"/>
          <w:kern w:val="0"/>
        </w:rPr>
        <w:t>。</w:t>
      </w:r>
    </w:p>
    <w:p>
      <w:pPr>
        <w:ind w:firstLine="482" w:firstLineChars="200"/>
        <w:jc w:val="both"/>
        <w:rPr>
          <w:b/>
          <w:bCs/>
        </w:rPr>
      </w:pPr>
      <w:r>
        <w:rPr>
          <w:rFonts w:hint="eastAsia"/>
          <w:b/>
          <w:bCs/>
        </w:rPr>
        <w:t>3、噪声</w:t>
      </w:r>
    </w:p>
    <w:p>
      <w:pPr>
        <w:adjustRightInd w:val="0"/>
        <w:snapToGrid w:val="0"/>
        <w:ind w:firstLine="480" w:firstLineChars="200"/>
        <w:jc w:val="both"/>
      </w:pPr>
      <w:r>
        <w:t>本次监测，该项目厂界东、南、西、北侧噪声昼间为</w:t>
      </w:r>
      <w:r>
        <w:rPr>
          <w:rFonts w:hint="eastAsia"/>
        </w:rPr>
        <w:t>56.7</w:t>
      </w:r>
      <w:r>
        <w:t>dB(A)~</w:t>
      </w:r>
      <w:r>
        <w:rPr>
          <w:rFonts w:hint="eastAsia"/>
        </w:rPr>
        <w:t>64.3</w:t>
      </w:r>
      <w:r>
        <w:t>dB(A)、夜间为</w:t>
      </w:r>
      <w:r>
        <w:rPr>
          <w:rFonts w:hint="eastAsia"/>
        </w:rPr>
        <w:t>50.6</w:t>
      </w:r>
      <w:r>
        <w:t>dB(A)~</w:t>
      </w:r>
      <w:r>
        <w:rPr>
          <w:rFonts w:hint="eastAsia"/>
        </w:rPr>
        <w:t>54.5</w:t>
      </w:r>
      <w:r>
        <w:t>dB(A)，监测结果均符合</w:t>
      </w:r>
      <w:r>
        <w:rPr>
          <w:lang w:bidi="ar"/>
        </w:rPr>
        <w:t>《工业企业厂界环境噪声排放标准》（GB 12348-2008)3类标准限值要求</w:t>
      </w:r>
      <w:r>
        <w:rPr>
          <w:rFonts w:hint="eastAsia"/>
          <w:lang w:bidi="ar"/>
        </w:rPr>
        <w:t>。</w:t>
      </w:r>
    </w:p>
    <w:p>
      <w:pPr>
        <w:ind w:firstLine="482" w:firstLineChars="200"/>
        <w:jc w:val="both"/>
        <w:rPr>
          <w:b/>
          <w:bCs/>
        </w:rPr>
      </w:pPr>
      <w:r>
        <w:rPr>
          <w:rFonts w:hint="eastAsia"/>
          <w:b/>
          <w:bCs/>
        </w:rPr>
        <w:t>4、污染物排放总量</w:t>
      </w:r>
    </w:p>
    <w:p>
      <w:pPr>
        <w:pStyle w:val="2"/>
        <w:ind w:firstLine="480"/>
        <w:jc w:val="both"/>
      </w:pPr>
      <w:r>
        <w:rPr>
          <w:rFonts w:hint="eastAsia"/>
        </w:rPr>
        <w:t>按实际年工作时间核算，锅炉烟气大气污染物排放总量为：NO</w:t>
      </w:r>
      <w:r>
        <w:rPr>
          <w:rFonts w:hint="eastAsia"/>
          <w:vertAlign w:val="subscript"/>
        </w:rPr>
        <w:t>X</w:t>
      </w:r>
      <w:r>
        <w:rPr>
          <w:rFonts w:hint="eastAsia"/>
        </w:rPr>
        <w:t>排放总量为13.15t/a、SO</w:t>
      </w:r>
      <w:r>
        <w:rPr>
          <w:rFonts w:hint="eastAsia"/>
          <w:vertAlign w:val="subscript"/>
        </w:rPr>
        <w:t>2</w:t>
      </w:r>
      <w:r>
        <w:rPr>
          <w:rFonts w:hint="eastAsia"/>
        </w:rPr>
        <w:t>排放总量为0.92t/a、颗粒物排放总量为0.404t/a、满足环评批复总量控制指标要求。</w:t>
      </w:r>
    </w:p>
    <w:p>
      <w:pPr>
        <w:jc w:val="both"/>
        <w:rPr>
          <w:b/>
          <w:bCs/>
        </w:rPr>
      </w:pPr>
      <w:r>
        <w:rPr>
          <w:rFonts w:hint="eastAsia"/>
          <w:b/>
          <w:bCs/>
        </w:rPr>
        <w:t>五、项目进一步完善的建议</w:t>
      </w:r>
    </w:p>
    <w:p>
      <w:pPr>
        <w:ind w:firstLine="480"/>
        <w:jc w:val="both"/>
        <w:rPr>
          <w:bCs/>
        </w:rPr>
      </w:pPr>
      <w:r>
        <w:rPr>
          <w:bCs/>
        </w:rPr>
        <w:t>1</w:t>
      </w:r>
      <w:r>
        <w:rPr>
          <w:rFonts w:hint="eastAsia"/>
          <w:bCs/>
        </w:rPr>
        <w:t>、规范建设烟囱采样平台；</w:t>
      </w:r>
    </w:p>
    <w:p>
      <w:pPr>
        <w:pStyle w:val="2"/>
        <w:ind w:firstLine="480"/>
        <w:jc w:val="left"/>
      </w:pPr>
      <w:r>
        <w:rPr>
          <w:rFonts w:hint="eastAsia"/>
        </w:rPr>
        <w:t>2、加强危险废物管理，规范危险废物暂存间的建设；</w:t>
      </w:r>
    </w:p>
    <w:p>
      <w:pPr>
        <w:jc w:val="both"/>
        <w:rPr>
          <w:b/>
          <w:bCs/>
        </w:rPr>
      </w:pPr>
      <w:r>
        <w:rPr>
          <w:rFonts w:hint="eastAsia"/>
          <w:b/>
          <w:bCs/>
        </w:rPr>
        <w:t>六</w:t>
      </w:r>
      <w:r>
        <w:rPr>
          <w:b/>
          <w:bCs/>
        </w:rPr>
        <w:t>、验收结论</w:t>
      </w:r>
    </w:p>
    <w:p>
      <w:pPr>
        <w:ind w:firstLine="480" w:firstLineChars="200"/>
        <w:jc w:val="both"/>
      </w:pPr>
      <w:r>
        <w:rPr>
          <w:rFonts w:hint="eastAsia"/>
          <w:color w:val="000000"/>
        </w:rPr>
        <w:t>安陆佳禾能源有限公司“新建生物质锅炉供热项目”</w:t>
      </w:r>
      <w:r>
        <w:t>环境保护手续齐全，</w:t>
      </w:r>
      <w:r>
        <w:rPr>
          <w:rFonts w:hint="eastAsia"/>
        </w:rPr>
        <w:t>基本</w:t>
      </w:r>
      <w:r>
        <w:t>落实了环评及批复中规定的各项环保措施，竣工验收监测条件符合《建设项目竣工环境保护验收管理办法》的相关规定，主要污染物</w:t>
      </w:r>
      <w:r>
        <w:rPr>
          <w:rFonts w:hint="eastAsia"/>
        </w:rPr>
        <w:t>排放浓度满足相关标准要求，现状污染物排放总量满足总量控制指标要求</w:t>
      </w:r>
      <w:r>
        <w:t>。</w:t>
      </w:r>
    </w:p>
    <w:p>
      <w:pPr>
        <w:ind w:firstLine="480" w:firstLineChars="200"/>
        <w:jc w:val="both"/>
      </w:pPr>
      <w:r>
        <w:rPr>
          <w:rFonts w:hint="eastAsia"/>
        </w:rPr>
        <w:t>在落实验收组提出的完善意见后，项目本次环境保护验收符合合格条件，可以按程序予以公示。</w:t>
      </w:r>
    </w:p>
    <w:p>
      <w:pPr>
        <w:rPr>
          <w:b/>
          <w:bCs/>
        </w:rPr>
      </w:pPr>
      <w:r>
        <w:rPr>
          <w:b/>
          <w:bCs/>
        </w:rPr>
        <w:t>七、验收人员信息</w:t>
      </w:r>
    </w:p>
    <w:p>
      <w:pPr>
        <w:pStyle w:val="5"/>
        <w:ind w:firstLine="480"/>
      </w:pPr>
      <w:r>
        <w:t>验收工作组成员名单及信息附后。</w:t>
      </w:r>
    </w:p>
    <w:p>
      <w:pPr>
        <w:pStyle w:val="5"/>
        <w:ind w:firstLine="480"/>
      </w:pPr>
    </w:p>
    <w:p>
      <w:pPr>
        <w:pStyle w:val="5"/>
        <w:ind w:firstLine="5662" w:firstLineChars="2350"/>
        <w:jc w:val="right"/>
        <w:rPr>
          <w:b/>
          <w:bCs/>
        </w:rPr>
      </w:pPr>
    </w:p>
    <w:p>
      <w:pPr>
        <w:pStyle w:val="5"/>
        <w:ind w:firstLine="5662" w:firstLineChars="2350"/>
        <w:jc w:val="center"/>
        <w:rPr>
          <w:b/>
          <w:bCs/>
        </w:rPr>
      </w:pPr>
      <w:r>
        <w:rPr>
          <w:b/>
          <w:bCs/>
        </w:rPr>
        <w:t>验收工作组</w:t>
      </w:r>
    </w:p>
    <w:p>
      <w:pPr>
        <w:pStyle w:val="5"/>
        <w:ind w:firstLine="5662" w:firstLineChars="2350"/>
        <w:jc w:val="center"/>
        <w:rPr>
          <w:rFonts w:hint="eastAsia" w:eastAsia="宋体"/>
          <w:b/>
          <w:lang w:eastAsia="zh-CN"/>
        </w:rPr>
      </w:pPr>
      <w:r>
        <w:rPr>
          <w:b/>
        </w:rPr>
        <w:t>201</w:t>
      </w:r>
      <w:r>
        <w:rPr>
          <w:rFonts w:hint="eastAsia"/>
          <w:b/>
        </w:rPr>
        <w:t>9</w:t>
      </w:r>
      <w:r>
        <w:rPr>
          <w:b/>
        </w:rPr>
        <w:t>年</w:t>
      </w:r>
      <w:r>
        <w:rPr>
          <w:rFonts w:hint="eastAsia"/>
          <w:b/>
        </w:rPr>
        <w:t>4</w:t>
      </w:r>
      <w:r>
        <w:rPr>
          <w:b/>
        </w:rPr>
        <w:t>月</w:t>
      </w:r>
      <w:r>
        <w:rPr>
          <w:rFonts w:hint="eastAsia"/>
          <w:b/>
        </w:rPr>
        <w:t>2</w:t>
      </w:r>
      <w:r>
        <w:rPr>
          <w:rFonts w:hint="eastAsia"/>
          <w:b/>
          <w:lang w:eastAsia="zh-CN"/>
        </w:rPr>
        <w:t>日</w:t>
      </w:r>
    </w:p>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lang w:eastAsia="zh-CN"/>
        </w:rPr>
      </w:pPr>
      <w:r>
        <w:rPr>
          <w:rFonts w:hint="eastAsia" w:eastAsia="宋体"/>
          <w:b/>
          <w:bCs/>
          <w:lang w:eastAsia="zh-CN"/>
        </w:rPr>
        <w:drawing>
          <wp:inline distT="0" distB="0" distL="114300" distR="114300">
            <wp:extent cx="5267960" cy="7450455"/>
            <wp:effectExtent l="0" t="0" r="8890" b="17145"/>
            <wp:docPr id="1" name="图片 1" descr="SKM_C754e19040313220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C754e19040313220_0006"/>
                    <pic:cNvPicPr>
                      <a:picLocks noChangeAspect="1"/>
                    </pic:cNvPicPr>
                  </pic:nvPicPr>
                  <pic:blipFill>
                    <a:blip r:embed="rId4"/>
                    <a:stretch>
                      <a:fillRect/>
                    </a:stretch>
                  </pic:blipFill>
                  <pic:spPr>
                    <a:xfrm>
                      <a:off x="0" y="0"/>
                      <a:ext cx="5267960" cy="745045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2D14"/>
    <w:multiLevelType w:val="multilevel"/>
    <w:tmpl w:val="51752D14"/>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373"/>
    <w:rsid w:val="00034C61"/>
    <w:rsid w:val="000425F6"/>
    <w:rsid w:val="0004316F"/>
    <w:rsid w:val="00080282"/>
    <w:rsid w:val="0008626B"/>
    <w:rsid w:val="000A6A8B"/>
    <w:rsid w:val="00172A27"/>
    <w:rsid w:val="001A4593"/>
    <w:rsid w:val="001D438D"/>
    <w:rsid w:val="001D5F8B"/>
    <w:rsid w:val="002047D0"/>
    <w:rsid w:val="00207636"/>
    <w:rsid w:val="002415CC"/>
    <w:rsid w:val="002619E5"/>
    <w:rsid w:val="002752CB"/>
    <w:rsid w:val="00283751"/>
    <w:rsid w:val="00294C60"/>
    <w:rsid w:val="002960D0"/>
    <w:rsid w:val="002972B9"/>
    <w:rsid w:val="002B11BC"/>
    <w:rsid w:val="002C2B48"/>
    <w:rsid w:val="002E40B6"/>
    <w:rsid w:val="002F5F0C"/>
    <w:rsid w:val="002F62D4"/>
    <w:rsid w:val="00335919"/>
    <w:rsid w:val="00336DB3"/>
    <w:rsid w:val="00340D7A"/>
    <w:rsid w:val="00357A47"/>
    <w:rsid w:val="0036202A"/>
    <w:rsid w:val="003845BE"/>
    <w:rsid w:val="0038736E"/>
    <w:rsid w:val="003A29EB"/>
    <w:rsid w:val="003A3A5B"/>
    <w:rsid w:val="00401913"/>
    <w:rsid w:val="00415A80"/>
    <w:rsid w:val="00426FA0"/>
    <w:rsid w:val="004271CF"/>
    <w:rsid w:val="00457BAC"/>
    <w:rsid w:val="004775F4"/>
    <w:rsid w:val="00480DDC"/>
    <w:rsid w:val="004978E1"/>
    <w:rsid w:val="004E5097"/>
    <w:rsid w:val="004F5E02"/>
    <w:rsid w:val="005A2641"/>
    <w:rsid w:val="005E083B"/>
    <w:rsid w:val="005F18AB"/>
    <w:rsid w:val="00604318"/>
    <w:rsid w:val="006118CF"/>
    <w:rsid w:val="006373CA"/>
    <w:rsid w:val="00642711"/>
    <w:rsid w:val="0066383F"/>
    <w:rsid w:val="006B0DBA"/>
    <w:rsid w:val="006B267D"/>
    <w:rsid w:val="006D1130"/>
    <w:rsid w:val="006E3404"/>
    <w:rsid w:val="006E633D"/>
    <w:rsid w:val="00704AE8"/>
    <w:rsid w:val="00714E0F"/>
    <w:rsid w:val="00757C76"/>
    <w:rsid w:val="00763CC4"/>
    <w:rsid w:val="007D77DF"/>
    <w:rsid w:val="00811357"/>
    <w:rsid w:val="008148B6"/>
    <w:rsid w:val="00846397"/>
    <w:rsid w:val="008C329F"/>
    <w:rsid w:val="008C6EC7"/>
    <w:rsid w:val="008E7CB5"/>
    <w:rsid w:val="00900824"/>
    <w:rsid w:val="009350C4"/>
    <w:rsid w:val="0094028D"/>
    <w:rsid w:val="0095282C"/>
    <w:rsid w:val="009705C4"/>
    <w:rsid w:val="0097398A"/>
    <w:rsid w:val="009805B1"/>
    <w:rsid w:val="009825B4"/>
    <w:rsid w:val="00995884"/>
    <w:rsid w:val="009A5BDD"/>
    <w:rsid w:val="009F7121"/>
    <w:rsid w:val="00A02427"/>
    <w:rsid w:val="00A13C64"/>
    <w:rsid w:val="00A26F30"/>
    <w:rsid w:val="00A61FFD"/>
    <w:rsid w:val="00A623DA"/>
    <w:rsid w:val="00A64283"/>
    <w:rsid w:val="00A67A22"/>
    <w:rsid w:val="00A94973"/>
    <w:rsid w:val="00AC296D"/>
    <w:rsid w:val="00AD24AC"/>
    <w:rsid w:val="00AD5C92"/>
    <w:rsid w:val="00AE16C4"/>
    <w:rsid w:val="00AF5C36"/>
    <w:rsid w:val="00B13CC8"/>
    <w:rsid w:val="00B208CD"/>
    <w:rsid w:val="00B327F8"/>
    <w:rsid w:val="00B36123"/>
    <w:rsid w:val="00B9028D"/>
    <w:rsid w:val="00B95DB9"/>
    <w:rsid w:val="00BC456A"/>
    <w:rsid w:val="00BD76C1"/>
    <w:rsid w:val="00BF384F"/>
    <w:rsid w:val="00C24ACC"/>
    <w:rsid w:val="00C354C5"/>
    <w:rsid w:val="00C51F91"/>
    <w:rsid w:val="00CB59DD"/>
    <w:rsid w:val="00CD089D"/>
    <w:rsid w:val="00CD68EE"/>
    <w:rsid w:val="00D03018"/>
    <w:rsid w:val="00D0439D"/>
    <w:rsid w:val="00D25D05"/>
    <w:rsid w:val="00D418D9"/>
    <w:rsid w:val="00D435D6"/>
    <w:rsid w:val="00DD5802"/>
    <w:rsid w:val="00DE06B2"/>
    <w:rsid w:val="00DE5410"/>
    <w:rsid w:val="00DF2B52"/>
    <w:rsid w:val="00DF4283"/>
    <w:rsid w:val="00E330C8"/>
    <w:rsid w:val="00E42CB7"/>
    <w:rsid w:val="00E45308"/>
    <w:rsid w:val="00E4588E"/>
    <w:rsid w:val="00EB0B1F"/>
    <w:rsid w:val="00F11013"/>
    <w:rsid w:val="00F36408"/>
    <w:rsid w:val="00F44F15"/>
    <w:rsid w:val="00F46FF0"/>
    <w:rsid w:val="00F53509"/>
    <w:rsid w:val="00F638B5"/>
    <w:rsid w:val="00F71D3D"/>
    <w:rsid w:val="00F94A3A"/>
    <w:rsid w:val="00FA0EDF"/>
    <w:rsid w:val="00FC6DAD"/>
    <w:rsid w:val="00FD52C9"/>
    <w:rsid w:val="037F51FB"/>
    <w:rsid w:val="03F95709"/>
    <w:rsid w:val="070413CE"/>
    <w:rsid w:val="07085CF6"/>
    <w:rsid w:val="0B803FC8"/>
    <w:rsid w:val="0B81133E"/>
    <w:rsid w:val="0C9A1FC3"/>
    <w:rsid w:val="142E561E"/>
    <w:rsid w:val="145C5613"/>
    <w:rsid w:val="146A2293"/>
    <w:rsid w:val="14825259"/>
    <w:rsid w:val="14B01B4F"/>
    <w:rsid w:val="170F63A3"/>
    <w:rsid w:val="17FD1573"/>
    <w:rsid w:val="18BC2664"/>
    <w:rsid w:val="19FA3C41"/>
    <w:rsid w:val="1FA85637"/>
    <w:rsid w:val="2AA423E1"/>
    <w:rsid w:val="2B9B7B8E"/>
    <w:rsid w:val="2C852335"/>
    <w:rsid w:val="2E3E09D3"/>
    <w:rsid w:val="30B77645"/>
    <w:rsid w:val="31562CFF"/>
    <w:rsid w:val="32CD03FA"/>
    <w:rsid w:val="34316440"/>
    <w:rsid w:val="3D5812A6"/>
    <w:rsid w:val="3DCE6C54"/>
    <w:rsid w:val="3E052A7D"/>
    <w:rsid w:val="3E961354"/>
    <w:rsid w:val="3F4D2A4A"/>
    <w:rsid w:val="426619BD"/>
    <w:rsid w:val="427C4376"/>
    <w:rsid w:val="44CB332D"/>
    <w:rsid w:val="48A9499E"/>
    <w:rsid w:val="4B152317"/>
    <w:rsid w:val="4EE95333"/>
    <w:rsid w:val="50216FB1"/>
    <w:rsid w:val="50A433B5"/>
    <w:rsid w:val="53D3162B"/>
    <w:rsid w:val="55995D6C"/>
    <w:rsid w:val="59373F83"/>
    <w:rsid w:val="5C680E69"/>
    <w:rsid w:val="5EBD2690"/>
    <w:rsid w:val="600848BF"/>
    <w:rsid w:val="63E820D9"/>
    <w:rsid w:val="695E4127"/>
    <w:rsid w:val="6A0433D6"/>
    <w:rsid w:val="6A905C68"/>
    <w:rsid w:val="6AD16BFB"/>
    <w:rsid w:val="6AD44AAE"/>
    <w:rsid w:val="6C977B5A"/>
    <w:rsid w:val="6D4A13E6"/>
    <w:rsid w:val="738B4D40"/>
    <w:rsid w:val="75B01625"/>
    <w:rsid w:val="79AD1A6D"/>
    <w:rsid w:val="7AC05003"/>
    <w:rsid w:val="7B3F2C5C"/>
    <w:rsid w:val="7BB70182"/>
    <w:rsid w:val="7C1B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adjustRightInd/>
      <w:snapToGrid/>
      <w:ind w:left="0" w:firstLine="0"/>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5"/>
    <w:qFormat/>
    <w:uiPriority w:val="0"/>
    <w:pPr>
      <w:keepNext/>
      <w:keepLines/>
      <w:numPr>
        <w:ilvl w:val="0"/>
        <w:numId w:val="1"/>
      </w:numPr>
      <w:outlineLvl w:val="2"/>
    </w:pPr>
    <w:rPr>
      <w:b/>
      <w:bCs/>
      <w:szCs w:val="32"/>
    </w:rPr>
  </w:style>
  <w:style w:type="paragraph" w:styleId="7">
    <w:name w:val="heading 4"/>
    <w:basedOn w:val="1"/>
    <w:next w:val="5"/>
    <w:qFormat/>
    <w:uiPriority w:val="0"/>
    <w:pPr>
      <w:keepNext/>
      <w:keepLines/>
      <w:jc w:val="both"/>
      <w:outlineLvl w:val="3"/>
    </w:pPr>
    <w:rPr>
      <w:b/>
      <w:bCs/>
    </w:rPr>
  </w:style>
  <w:style w:type="paragraph" w:styleId="8">
    <w:name w:val="heading 5"/>
    <w:basedOn w:val="5"/>
    <w:next w:val="1"/>
    <w:qFormat/>
    <w:uiPriority w:val="0"/>
    <w:pPr>
      <w:outlineLvl w:val="4"/>
    </w:p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style>
  <w:style w:type="paragraph" w:customStyle="1" w:styleId="5">
    <w:name w:val="正文小四"/>
    <w:basedOn w:val="1"/>
    <w:qFormat/>
    <w:uiPriority w:val="0"/>
    <w:pPr>
      <w:ind w:firstLine="200" w:firstLineChars="200"/>
    </w:pPr>
  </w:style>
  <w:style w:type="paragraph" w:styleId="9">
    <w:name w:val="toc 7"/>
    <w:basedOn w:val="1"/>
    <w:next w:val="1"/>
    <w:semiHidden/>
    <w:qFormat/>
    <w:uiPriority w:val="0"/>
    <w:pPr>
      <w:ind w:left="1440"/>
    </w:pPr>
    <w:rPr>
      <w:sz w:val="18"/>
      <w:szCs w:val="18"/>
    </w:rPr>
  </w:style>
  <w:style w:type="paragraph" w:styleId="10">
    <w:name w:val="Normal Indent"/>
    <w:basedOn w:val="1"/>
    <w:qFormat/>
    <w:uiPriority w:val="0"/>
    <w:pPr>
      <w:ind w:firstLine="420"/>
    </w:pPr>
  </w:style>
  <w:style w:type="paragraph" w:styleId="11">
    <w:name w:val="Document Map"/>
    <w:basedOn w:val="1"/>
    <w:semiHidden/>
    <w:qFormat/>
    <w:uiPriority w:val="0"/>
    <w:pPr>
      <w:shd w:val="clear" w:color="auto" w:fill="000080"/>
    </w:pPr>
  </w:style>
  <w:style w:type="paragraph" w:styleId="12">
    <w:name w:val="annotation text"/>
    <w:basedOn w:val="1"/>
    <w:semiHidden/>
    <w:qFormat/>
    <w:uiPriority w:val="0"/>
  </w:style>
  <w:style w:type="paragraph" w:styleId="13">
    <w:name w:val="toc 5"/>
    <w:basedOn w:val="1"/>
    <w:next w:val="1"/>
    <w:semiHidden/>
    <w:qFormat/>
    <w:uiPriority w:val="0"/>
    <w:pPr>
      <w:ind w:left="960"/>
    </w:pPr>
    <w:rPr>
      <w:sz w:val="18"/>
      <w:szCs w:val="18"/>
    </w:rPr>
  </w:style>
  <w:style w:type="paragraph" w:styleId="14">
    <w:name w:val="toc 3"/>
    <w:basedOn w:val="1"/>
    <w:next w:val="1"/>
    <w:semiHidden/>
    <w:qFormat/>
    <w:uiPriority w:val="0"/>
    <w:pPr>
      <w:ind w:left="480"/>
    </w:pPr>
    <w:rPr>
      <w:i/>
      <w:iCs/>
      <w:sz w:val="20"/>
      <w:szCs w:val="20"/>
    </w:rPr>
  </w:style>
  <w:style w:type="paragraph" w:styleId="15">
    <w:name w:val="toc 8"/>
    <w:basedOn w:val="1"/>
    <w:next w:val="1"/>
    <w:semiHidden/>
    <w:qFormat/>
    <w:uiPriority w:val="0"/>
    <w:pPr>
      <w:ind w:left="1680"/>
    </w:pPr>
    <w:rPr>
      <w:sz w:val="18"/>
      <w:szCs w:val="18"/>
    </w:rPr>
  </w:style>
  <w:style w:type="paragraph" w:styleId="16">
    <w:name w:val="Balloon Text"/>
    <w:basedOn w:val="1"/>
    <w:semiHidden/>
    <w:qFormat/>
    <w:uiPriority w:val="0"/>
    <w:rPr>
      <w:sz w:val="18"/>
      <w:szCs w:val="18"/>
    </w:rPr>
  </w:style>
  <w:style w:type="paragraph" w:styleId="17">
    <w:name w:val="footer"/>
    <w:basedOn w:val="1"/>
    <w:link w:val="37"/>
    <w:qFormat/>
    <w:uiPriority w:val="0"/>
    <w:pPr>
      <w:tabs>
        <w:tab w:val="center" w:pos="4153"/>
        <w:tab w:val="right" w:pos="8306"/>
      </w:tabs>
      <w:snapToGrid w:val="0"/>
      <w:spacing w:line="240" w:lineRule="auto"/>
    </w:pPr>
    <w:rPr>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semiHidden/>
    <w:qFormat/>
    <w:uiPriority w:val="0"/>
    <w:pPr>
      <w:spacing w:before="50" w:beforeLines="50"/>
    </w:pPr>
    <w:rPr>
      <w:b/>
      <w:bCs/>
      <w:caps/>
      <w:szCs w:val="20"/>
    </w:rPr>
  </w:style>
  <w:style w:type="paragraph" w:styleId="20">
    <w:name w:val="toc 4"/>
    <w:basedOn w:val="1"/>
    <w:next w:val="1"/>
    <w:semiHidden/>
    <w:qFormat/>
    <w:uiPriority w:val="0"/>
    <w:pPr>
      <w:ind w:left="720"/>
    </w:pPr>
    <w:rPr>
      <w:sz w:val="18"/>
      <w:szCs w:val="18"/>
    </w:rPr>
  </w:style>
  <w:style w:type="paragraph" w:styleId="21">
    <w:name w:val="toc 6"/>
    <w:basedOn w:val="1"/>
    <w:next w:val="1"/>
    <w:semiHidden/>
    <w:qFormat/>
    <w:uiPriority w:val="0"/>
    <w:pPr>
      <w:ind w:left="1200"/>
    </w:pPr>
    <w:rPr>
      <w:sz w:val="18"/>
      <w:szCs w:val="18"/>
    </w:rPr>
  </w:style>
  <w:style w:type="paragraph" w:styleId="22">
    <w:name w:val="toc 2"/>
    <w:basedOn w:val="1"/>
    <w:next w:val="1"/>
    <w:semiHidden/>
    <w:qFormat/>
    <w:uiPriority w:val="0"/>
    <w:pPr>
      <w:spacing w:line="360" w:lineRule="exact"/>
      <w:ind w:left="238"/>
    </w:pPr>
    <w:rPr>
      <w:smallCaps/>
      <w:sz w:val="21"/>
      <w:szCs w:val="20"/>
    </w:rPr>
  </w:style>
  <w:style w:type="paragraph" w:styleId="23">
    <w:name w:val="toc 9"/>
    <w:basedOn w:val="1"/>
    <w:next w:val="1"/>
    <w:semiHidden/>
    <w:qFormat/>
    <w:uiPriority w:val="0"/>
    <w:pPr>
      <w:ind w:left="1920"/>
    </w:pPr>
    <w:rPr>
      <w:sz w:val="18"/>
      <w:szCs w:val="18"/>
    </w:rPr>
  </w:style>
  <w:style w:type="paragraph" w:styleId="24">
    <w:name w:val="Normal (Web)"/>
    <w:basedOn w:val="1"/>
    <w:qFormat/>
    <w:uiPriority w:val="0"/>
  </w:style>
  <w:style w:type="paragraph" w:styleId="25">
    <w:name w:val="annotation subject"/>
    <w:basedOn w:val="12"/>
    <w:next w:val="12"/>
    <w:link w:val="38"/>
    <w:qFormat/>
    <w:uiPriority w:val="0"/>
    <w:rPr>
      <w:b/>
      <w:bCs/>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annotation reference"/>
    <w:semiHidden/>
    <w:qFormat/>
    <w:uiPriority w:val="0"/>
    <w:rPr>
      <w:sz w:val="21"/>
      <w:szCs w:val="21"/>
    </w:rPr>
  </w:style>
  <w:style w:type="paragraph" w:customStyle="1" w:styleId="30">
    <w:name w:val="报告书正文"/>
    <w:basedOn w:val="1"/>
    <w:qFormat/>
    <w:uiPriority w:val="0"/>
    <w:pPr>
      <w:widowControl/>
      <w:ind w:firstLine="480" w:firstLineChars="200"/>
      <w:jc w:val="both"/>
    </w:pPr>
  </w:style>
  <w:style w:type="paragraph" w:customStyle="1" w:styleId="31">
    <w:name w:val="报告表正文"/>
    <w:basedOn w:val="1"/>
    <w:qFormat/>
    <w:uiPriority w:val="0"/>
    <w:pPr>
      <w:spacing w:line="480" w:lineRule="atLeast"/>
      <w:ind w:firstLine="960"/>
    </w:pPr>
  </w:style>
  <w:style w:type="paragraph" w:customStyle="1" w:styleId="32">
    <w:name w:val="表格标题"/>
    <w:next w:val="33"/>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3">
    <w:name w:val="表格"/>
    <w:qFormat/>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君邦正文"/>
    <w:basedOn w:val="1"/>
    <w:qFormat/>
    <w:uiPriority w:val="0"/>
    <w:pPr>
      <w:spacing w:after="60"/>
      <w:ind w:firstLine="200" w:firstLineChars="200"/>
    </w:pPr>
  </w:style>
  <w:style w:type="paragraph" w:customStyle="1" w:styleId="36">
    <w:name w:val="标题4"/>
    <w:next w:val="5"/>
    <w:qFormat/>
    <w:uiPriority w:val="0"/>
    <w:pPr>
      <w:spacing w:line="360" w:lineRule="auto"/>
    </w:pPr>
    <w:rPr>
      <w:rFonts w:ascii="Times New Roman" w:hAnsi="Times New Roman" w:eastAsia="宋体" w:cs="Times New Roman"/>
      <w:kern w:val="2"/>
      <w:sz w:val="24"/>
      <w:szCs w:val="24"/>
      <w:lang w:val="en-US" w:eastAsia="zh-CN" w:bidi="ar-SA"/>
    </w:rPr>
  </w:style>
  <w:style w:type="character" w:customStyle="1" w:styleId="37">
    <w:name w:val="页脚 字符"/>
    <w:link w:val="17"/>
    <w:qFormat/>
    <w:uiPriority w:val="0"/>
    <w:rPr>
      <w:kern w:val="2"/>
      <w:sz w:val="18"/>
      <w:szCs w:val="18"/>
    </w:rPr>
  </w:style>
  <w:style w:type="character" w:customStyle="1" w:styleId="38">
    <w:name w:val="批注主题 字符"/>
    <w:link w:val="25"/>
    <w:qFormat/>
    <w:uiPriority w:val="0"/>
    <w:rPr>
      <w:b/>
      <w:bCs/>
      <w:kern w:val="2"/>
      <w:sz w:val="24"/>
      <w:szCs w:val="24"/>
    </w:rPr>
  </w:style>
  <w:style w:type="character" w:customStyle="1" w:styleId="39">
    <w:name w:val="页眉 字符"/>
    <w:link w:val="18"/>
    <w:qFormat/>
    <w:uiPriority w:val="0"/>
    <w:rPr>
      <w:kern w:val="2"/>
      <w:sz w:val="18"/>
      <w:szCs w:val="18"/>
    </w:rPr>
  </w:style>
  <w:style w:type="paragraph" w:customStyle="1" w:styleId="40">
    <w:name w:val="1-正文"/>
    <w:basedOn w:val="1"/>
    <w:qFormat/>
    <w:uiPriority w:val="0"/>
    <w:pPr>
      <w:spacing w:after="60"/>
      <w:ind w:firstLine="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whict</Company>
  <Pages>4</Pages>
  <Words>278</Words>
  <Characters>1588</Characters>
  <Lines>13</Lines>
  <Paragraphs>3</Paragraphs>
  <TotalTime>3</TotalTime>
  <ScaleCrop>false</ScaleCrop>
  <LinksUpToDate>false</LinksUpToDate>
  <CharactersWithSpaces>1863</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2018-08-30T03:02:00Z</dcterms:created>
  <dc:creator>pc</dc:creator>
  <cp:lastModifiedBy>恋恋</cp:lastModifiedBy>
  <dcterms:modified xsi:type="dcterms:W3CDTF">2019-04-12T07:27:33Z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